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9673744"/>
        <w:docPartObj>
          <w:docPartGallery w:val="Cover Pages"/>
          <w:docPartUnique/>
        </w:docPartObj>
      </w:sdtPr>
      <w:sdtEndPr/>
      <w:sdtContent>
        <w:p w14:paraId="330D86FB" w14:textId="08141024" w:rsidR="00D07211" w:rsidRDefault="00D07211" w:rsidP="00D07211"/>
        <w:p w14:paraId="2C8E6D0C" w14:textId="0F85DF01" w:rsidR="00D07211" w:rsidRPr="00D07211" w:rsidRDefault="00D07211" w:rsidP="00D07211">
          <w:pPr>
            <w:pStyle w:val="NoSpacing"/>
            <w:jc w:val="right"/>
            <w:rPr>
              <w:b/>
              <w:bCs/>
              <w:smallCaps/>
              <w:color w:val="1F497D" w:themeColor="text2"/>
              <w:sz w:val="40"/>
              <w:szCs w:val="40"/>
            </w:rPr>
          </w:pPr>
          <w:r>
            <w:rPr>
              <w:noProof/>
            </w:rPr>
            <mc:AlternateContent>
              <mc:Choice Requires="wps">
                <w:drawing>
                  <wp:anchor distT="0" distB="0" distL="114300" distR="114300" simplePos="0" relativeHeight="251668992" behindDoc="0" locked="0" layoutInCell="1" allowOverlap="1" wp14:anchorId="79AE6BFA" wp14:editId="23A2B0C9">
                    <wp:simplePos x="0" y="0"/>
                    <wp:positionH relativeFrom="margin">
                      <wp:align>right</wp:align>
                    </wp:positionH>
                    <wp:positionV relativeFrom="margin">
                      <wp:posOffset>4543425</wp:posOffset>
                    </wp:positionV>
                    <wp:extent cx="5753100" cy="2209800"/>
                    <wp:effectExtent l="0" t="0" r="10160" b="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220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25701" w14:textId="36BD2DCA" w:rsidR="00D07211" w:rsidRPr="00D07211" w:rsidRDefault="00917970" w:rsidP="00D07211">
                                <w:pPr>
                                  <w:pStyle w:val="NoSpacing"/>
                                  <w:jc w:val="right"/>
                                  <w:rPr>
                                    <w:b/>
                                    <w:bCs/>
                                    <w:smallCaps/>
                                    <w:color w:val="1F497D" w:themeColor="text2"/>
                                    <w:sz w:val="40"/>
                                    <w:szCs w:val="40"/>
                                  </w:rPr>
                                </w:pPr>
                                <w:sdt>
                                  <w:sdtPr>
                                    <w:rPr>
                                      <w:caps/>
                                      <w:color w:val="17365D" w:themeColor="text2" w:themeShade="BF"/>
                                      <w:sz w:val="56"/>
                                      <w:szCs w:val="56"/>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D07211" w:rsidRPr="00D07211">
                                      <w:rPr>
                                        <w:caps/>
                                        <w:color w:val="17365D" w:themeColor="text2" w:themeShade="BF"/>
                                        <w:sz w:val="56"/>
                                        <w:szCs w:val="56"/>
                                      </w:rPr>
                                      <w:t>Consolidated annual performance evaluation report</w:t>
                                    </w:r>
                                  </w:sdtContent>
                                </w:sdt>
                                <w:r w:rsidR="00D07211" w:rsidRPr="00D07211">
                                  <w:rPr>
                                    <w:caps/>
                                    <w:color w:val="17365D" w:themeColor="text2" w:themeShade="BF"/>
                                    <w:sz w:val="96"/>
                                    <w:szCs w:val="96"/>
                                  </w:rPr>
                                  <w:br/>
                                </w:r>
                                <w:r w:rsidR="00D07211" w:rsidRPr="00D07211">
                                  <w:rPr>
                                    <w:b/>
                                    <w:bCs/>
                                    <w:caps/>
                                    <w:color w:val="17365D" w:themeColor="text2" w:themeShade="BF"/>
                                    <w:sz w:val="144"/>
                                    <w:szCs w:val="144"/>
                                  </w:rPr>
                                  <w:t>CAPER 2020</w:t>
                                </w:r>
                                <w:r w:rsidR="00D07211" w:rsidRPr="00D07211">
                                  <w:rPr>
                                    <w:b/>
                                    <w:bCs/>
                                    <w:smallCaps/>
                                    <w:color w:val="1F497D" w:themeColor="text2"/>
                                    <w:sz w:val="72"/>
                                    <w:szCs w:val="72"/>
                                  </w:rPr>
                                  <w:t xml:space="preserve"> </w:t>
                                </w:r>
                                <w:sdt>
                                  <w:sdtPr>
                                    <w:rPr>
                                      <w:b/>
                                      <w:bCs/>
                                      <w:smallCaps/>
                                      <w:color w:val="1F497D" w:themeColor="text2"/>
                                      <w:sz w:val="72"/>
                                      <w:szCs w:val="72"/>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r w:rsidR="00D07211" w:rsidRPr="00D07211">
                                      <w:rPr>
                                        <w:b/>
                                        <w:bCs/>
                                        <w:smallCaps/>
                                        <w:color w:val="1F497D" w:themeColor="text2"/>
                                        <w:sz w:val="72"/>
                                        <w:szCs w:val="72"/>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AE6BFA" id="_x0000_t202" coordsize="21600,21600" o:spt="202" path="m,l,21600r21600,l21600,xe">
                    <v:stroke joinstyle="miter"/>
                    <v:path gradientshapeok="t" o:connecttype="rect"/>
                  </v:shapetype>
                  <v:shape id="Text Box 113" o:spid="_x0000_s1026" type="#_x0000_t202" style="position:absolute;left:0;text-align:left;margin-left:401.8pt;margin-top:357.75pt;width:453pt;height:174pt;z-index:251668992;visibility:visible;mso-wrap-style:square;mso-width-percent:734;mso-height-percent:0;mso-wrap-distance-left:9pt;mso-wrap-distance-top:0;mso-wrap-distance-right:9pt;mso-wrap-distance-bottom:0;mso-position-horizontal:right;mso-position-horizontal-relative:margin;mso-position-vertical:absolute;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8k8dgIAAFcFAAAOAAAAZHJzL2Uyb0RvYy54bWysVMFu2zAMvQ/YPwi6r3ZStOuCOkXWosOA&#10;oi2WDj0rstQYk0VNUhJnX78n2U6LbpcOu8g0+UiRj6TOL7rWsK3yoSFb8clRyZmykurGPlX8+8P1&#10;hzPOQhS2FoasqvheBX4xf//ufOdmakprMrXyDEFsmO1cxdcxullRBLlWrQhH5JSFUZNvRcSvfypq&#10;L3aI3ppiWpanxY587TxJFQK0V72Rz3N8rZWMd1oHFZmpOHKL+fT5XKWzmJ+L2ZMXbt3IIQ3xD1m0&#10;orG49BDqSkTBNr75I1TbSE+BdDyS1BakdSNVrgHVTMpX1SzXwqlcC8gJ7kBT+H9h5e323rOmRu8m&#10;x5xZ0aJJD6qL7DN1LOnA0M6FGYBLB2jsYAB61AcoU+Gd9m36oiQGO7jeH/hN4SSUJx9PjiclTBK2&#10;6bT8dIYfxC+e3Z0P8YuiliWh4h4NzLyK7U2IPXSEpNssXTfG5CYay3YVPz0+KbPDwYLgxiasyuMw&#10;hEkl9alnKe6NShhjvykNOnIFSZEHUV0az7YCIySkVDbm4nNcoBNKI4m3OA7456ze4tzXMd5MNh6c&#10;28aSz9W/Srv+Maasezw4f1F3EmO36oZWr6jeo9Oe+m0JTl436MaNCPFeeKwHOoiVj3c4tCGwToPE&#10;2Zr8r7/pEx5TCytnO6xbxcPPjfCKM/PVYp7Tbo6CH4XVKNhNe0mgf4LHxMkswsFHM4raU/uIl2CR&#10;boFJWIm7Kr4axcvYLz1eEqkWiwzCBjoRb+zSyRQ6dSPN1kP3KLwbBjBidm9pXEQxezWHPTZ5Wlps&#10;IukmD2kitGdxIBrbm8d8eGnS8/DyP6Oe38P5bwAAAP//AwBQSwMEFAAGAAgAAAAhAITMPbPeAAAA&#10;CQEAAA8AAABkcnMvZG93bnJldi54bWxMj8FOwzAQRO9I/IO1SNyo3dIYCHGqCgmEBBKi7Qc4yZJE&#10;2OsodtP071lOcNyZ0eybYjN7JyYcYx/IwHKhQCDVoempNXDYP9/cg4jJUmNdIDRwxgib8vKisHkT&#10;TvSJ0y61gkso5tZAl9KQSxnrDr2NizAgsfcVRm8Tn2Mrm9GeuNw7uVJKS2974g+dHfCpw/p7d/QG&#10;Xv36fVrL7dueDh8r91L1WuuzMddX8/YRRMI5/YXhF5/RoWSmKhypicIZ4CHJwN0yy0Cw/aA0KxXn&#10;lL7NQJaF/L+g/AEAAP//AwBQSwECLQAUAAYACAAAACEAtoM4kv4AAADhAQAAEwAAAAAAAAAAAAAA&#10;AAAAAAAAW0NvbnRlbnRfVHlwZXNdLnhtbFBLAQItABQABgAIAAAAIQA4/SH/1gAAAJQBAAALAAAA&#10;AAAAAAAAAAAAAC8BAABfcmVscy8ucmVsc1BLAQItABQABgAIAAAAIQDP38k8dgIAAFcFAAAOAAAA&#10;AAAAAAAAAAAAAC4CAABkcnMvZTJvRG9jLnhtbFBLAQItABQABgAIAAAAIQCEzD2z3gAAAAkBAAAP&#10;AAAAAAAAAAAAAAAAANAEAABkcnMvZG93bnJldi54bWxQSwUGAAAAAAQABADzAAAA2wUAAAAA&#10;" filled="f" stroked="f" strokeweight=".5pt">
                    <v:textbox inset="0,0,0,0">
                      <w:txbxContent>
                        <w:p w14:paraId="1F125701" w14:textId="36BD2DCA" w:rsidR="00D07211" w:rsidRPr="00D07211" w:rsidRDefault="00D07211" w:rsidP="00D07211">
                          <w:pPr>
                            <w:pStyle w:val="NoSpacing"/>
                            <w:jc w:val="right"/>
                            <w:rPr>
                              <w:b/>
                              <w:bCs/>
                              <w:smallCaps/>
                              <w:color w:val="1F497D" w:themeColor="text2"/>
                              <w:sz w:val="40"/>
                              <w:szCs w:val="40"/>
                            </w:rPr>
                          </w:pPr>
                          <w:sdt>
                            <w:sdtPr>
                              <w:rPr>
                                <w:caps/>
                                <w:color w:val="17365D" w:themeColor="text2" w:themeShade="BF"/>
                                <w:sz w:val="56"/>
                                <w:szCs w:val="56"/>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Pr="00D07211">
                                <w:rPr>
                                  <w:caps/>
                                  <w:color w:val="17365D" w:themeColor="text2" w:themeShade="BF"/>
                                  <w:sz w:val="56"/>
                                  <w:szCs w:val="56"/>
                                </w:rPr>
                                <w:t>Consolidated annual performance evaluation report</w:t>
                              </w:r>
                            </w:sdtContent>
                          </w:sdt>
                          <w:r w:rsidRPr="00D07211">
                            <w:rPr>
                              <w:caps/>
                              <w:color w:val="17365D" w:themeColor="text2" w:themeShade="BF"/>
                              <w:sz w:val="96"/>
                              <w:szCs w:val="96"/>
                            </w:rPr>
                            <w:br/>
                          </w:r>
                          <w:r w:rsidRPr="00D07211">
                            <w:rPr>
                              <w:b/>
                              <w:bCs/>
                              <w:caps/>
                              <w:color w:val="17365D" w:themeColor="text2" w:themeShade="BF"/>
                              <w:sz w:val="144"/>
                              <w:szCs w:val="144"/>
                            </w:rPr>
                            <w:t>CAPER 2020</w:t>
                          </w:r>
                          <w:r w:rsidRPr="00D07211">
                            <w:rPr>
                              <w:b/>
                              <w:bCs/>
                              <w:smallCaps/>
                              <w:color w:val="1F497D" w:themeColor="text2"/>
                              <w:sz w:val="72"/>
                              <w:szCs w:val="72"/>
                            </w:rPr>
                            <w:t xml:space="preserve"> </w:t>
                          </w:r>
                          <w:sdt>
                            <w:sdtPr>
                              <w:rPr>
                                <w:b/>
                                <w:bCs/>
                                <w:smallCaps/>
                                <w:color w:val="1F497D" w:themeColor="text2"/>
                                <w:sz w:val="72"/>
                                <w:szCs w:val="72"/>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r w:rsidRPr="00D07211">
                                <w:rPr>
                                  <w:b/>
                                  <w:bCs/>
                                  <w:smallCaps/>
                                  <w:color w:val="1F497D" w:themeColor="text2"/>
                                  <w:sz w:val="72"/>
                                  <w:szCs w:val="72"/>
                                </w:rPr>
                                <w:t xml:space="preserve">     </w:t>
                              </w:r>
                            </w:sdtContent>
                          </w:sdt>
                        </w:p>
                      </w:txbxContent>
                    </v:textbox>
                    <w10:wrap type="square" anchorx="margin" anchory="margin"/>
                  </v:shape>
                </w:pict>
              </mc:Fallback>
            </mc:AlternateContent>
          </w:r>
          <w:r>
            <w:rPr>
              <w:noProof/>
            </w:rPr>
            <mc:AlternateContent>
              <mc:Choice Requires="wpg">
                <w:drawing>
                  <wp:anchor distT="0" distB="0" distL="114300" distR="114300" simplePos="0" relativeHeight="251655680" behindDoc="0" locked="0" layoutInCell="1" allowOverlap="1" wp14:anchorId="1D06C10D" wp14:editId="2728D2DC">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tx2"/>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08DC00" id="Group 114" o:spid="_x0000_s1026" style="position:absolute;margin-left:0;margin-top:0;width:18pt;height:10in;z-index:25165568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YPOwMAAMgKAAAOAAAAZHJzL2Uyb0RvYy54bWzsVltr2zAUfh/sPwi9r3ZCkqamTgnpWgah&#10;K21Hn1VZjs1kSZOUON2v3znyJSENeehgMOiLrcu5fuecz7682laSbIR1pVYpHZzFlAjFdVaqVUp/&#10;PN18mVLiPFMZk1qJlL4KR69mnz9d1iYRQ11omQlLwIhySW1SWnhvkihyvBAVc2faCAWXubYV87C1&#10;qyizrAbrlYyGcTyJam0zYzUXzsHpdXNJZ8F+ngvuv+e5E57IlEJsPjxteL7gM5pdsmRlmSlK3obB&#10;3hFFxUoFTntT18wzsrblG1NVya12OvdnXFeRzvOSi5ADZDOID7K5tXptQi6rpF6ZHiaA9gCnd5vl&#10;d5t7S8oMajcYUaJYBUUKfgkeADy1WSUgdWvNo7m37cGq2WHG29xW+IZcyDYA+9oDK7aecDgcDqeT&#10;GODncHUxGI1i2ATkeQHleaPGi6+nFaOdW6dlmd2UUmIMoW3EQlqyYVBwvx2iG5Dek4owoT7+2kDf&#10;uR207u+gfSyYEaFiDkHroR130D5ARzK1kgLgHTfwBskeW5c4gPk9wE7Pp8N4HIDdw8dY52+Frggu&#10;UmrBf2hUtlk634DTiaBTAAbBDMWRCk+Ubg/AKJ4Afl2MYeVfpUA5qR5EDp2E5Q4eDorBOBfKD5qr&#10;gmWiqdEYeqGLudcINQsG0XIOAfW2WwPID7tCd7abfFp5VBWBAnrl+FRgjXKvETxr5XvlqlTaHjMg&#10;IavWcyPfgdRAgyi96OwVmsHqhoCc4Tcl1GPJnL9nFhgHhgNY1H+HRy51nVLdrigptP197BzloVvh&#10;lpIaGCyl7teaWUGJ/Kagj8OgAeWFzWh8PgQfdv/mZf9GrauFhpkZAF8bHpYo72W3zK2unoFs5+gV&#10;rpji4Dul3Ntus/ANswJdczGfBzGgOcP8Uj0ajsYRVey3p+0zs6ZtSg88cae72WHJQW82sqip9Hzt&#10;dV6Gxt3h2uINc4x09U8GenJsoCcHA40hO7PU/KcjSi8KGHwxdwZGEKHAlsFogSdw+pvQTw7/9GIw&#10;Bu5ETWjtIxTZ8mzTjB0xd+P9wQDh8xSKcoo+Phjg/2aA8IGH36XwEWl/7fB/bH8fRm/3Azr7AwAA&#10;//8DAFBLAwQUAAYACAAAACEAvdF3w9oAAAAFAQAADwAAAGRycy9kb3ducmV2LnhtbEyPzU7DMBCE&#10;70h9B2srcaN2f1RBGqeqkOgNASkHenPiJYmw11HstuHtWbjQy0qjGc1+k29H78QZh9gF0jCfKRBI&#10;dbAdNRreD0939yBiMmSNC4QavjHCtpjc5Caz4UJveC5TI7iEYmY0tCn1mZSxbtGbOAs9EnufYfAm&#10;sRwaaQdz4XLv5EKptfSmI/7Qmh4fW6y/ypPXQPJg97588R/L9FAujq+Ve95XWt9Ox90GRMIx/Yfh&#10;F5/RoWCmKpzIRuE08JD0d9lbrllVnFmtlAJZ5PKavvgBAAD//wMAUEsBAi0AFAAGAAgAAAAhALaD&#10;OJL+AAAA4QEAABMAAAAAAAAAAAAAAAAAAAAAAFtDb250ZW50X1R5cGVzXS54bWxQSwECLQAUAAYA&#10;CAAAACEAOP0h/9YAAACUAQAACwAAAAAAAAAAAAAAAAAvAQAAX3JlbHMvLnJlbHNQSwECLQAUAAYA&#10;CAAAACEAvQUGDzsDAADICgAADgAAAAAAAAAAAAAAAAAuAgAAZHJzL2Uyb0RvYy54bWxQSwECLQAU&#10;AAYACAAAACEAvdF3w9oAAAAFAQAADwAAAAAAAAAAAAAAAACVBQAAZHJzL2Rvd25yZXYueG1sUEsF&#10;BgAAAAAEAAQA8wAAAJw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BDmwgAAANwAAAAPAAAAZHJzL2Rvd25yZXYueG1sRE9La8JA&#10;EL4L/odlCt7MxmKlpK4SpIoeawqlt0l2mqTNzobsmse/7xaE3ubje852P5pG9NS52rKCVRSDIC6s&#10;rrlU8J4dl88gnEfW2FgmBRM52O/msy0m2g78Rv3VlyKEsEtQQeV9m0jpiooMusi2xIH7sp1BH2BX&#10;St3hEMJNIx/jeCMN1hwaKmzpUFHxc70ZBS7vL9nUph/fn67I01c22fpyUmrxMKYvIDyN/l98d591&#10;mL96gr9nwgVy9wsAAP//AwBQSwECLQAUAAYACAAAACEA2+H2y+4AAACFAQAAEwAAAAAAAAAAAAAA&#10;AAAAAAAAW0NvbnRlbnRfVHlwZXNdLnhtbFBLAQItABQABgAIAAAAIQBa9CxbvwAAABUBAAALAAAA&#10;AAAAAAAAAAAAAB8BAABfcmVscy8ucmVsc1BLAQItABQABgAIAAAAIQBL8BDmwgAAANwAAAAPAAAA&#10;AAAAAAAAAAAAAAcCAABkcnMvZG93bnJldi54bWxQSwUGAAAAAAMAAwC3AAAA9gIAAAAA&#10;" filled="f" stroked="f" strokeweight="2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o6RwAAAANwAAAAPAAAAZHJzL2Rvd25yZXYueG1sRE9Ni8Iw&#10;EL0L/ocwgjdNFZGlGqWIih7XCuJtbMa22kxKE2v995uFhb3N433Oct2ZSrTUuNKygsk4AkGcWV1y&#10;ruCc7kZfIJxH1lhZJgUfcrBe9XtLjLV98ze1J5+LEMIuRgWF93UspcsKMujGtiYO3N02Bn2ATS51&#10;g+8Qbio5jaK5NFhyaCiwpk1B2fP0MgrcrT2mnzq5PK4uuyVbNunsuFdqOOiSBQhPnf8X/7kPOsyf&#10;zOH3mXCBXP0AAAD//wMAUEsBAi0AFAAGAAgAAAAhANvh9svuAAAAhQEAABMAAAAAAAAAAAAAAAAA&#10;AAAAAFtDb250ZW50X1R5cGVzXS54bWxQSwECLQAUAAYACAAAACEAWvQsW78AAAAVAQAACwAAAAAA&#10;AAAAAAAAAAAfAQAAX3JlbHMvLnJlbHNQSwECLQAUAAYACAAAACEAuyKOkcAAAADcAAAADwAAAAAA&#10;AAAAAAAAAAAHAgAAZHJzL2Rvd25yZXYueG1sUEsFBgAAAAADAAMAtwAAAPQCAAAAAA==&#10;" filled="f" stroked="f" strokeweight="2pt">
                      <o:lock v:ext="edit" aspectratio="t"/>
                    </v:rect>
                    <w10:wrap anchorx="page" anchory="page"/>
                  </v:group>
                </w:pict>
              </mc:Fallback>
            </mc:AlternateContent>
          </w:r>
          <w:r>
            <w:rPr>
              <w:noProof/>
            </w:rPr>
            <w:drawing>
              <wp:inline distT="0" distB="0" distL="0" distR="0" wp14:anchorId="456E036C" wp14:editId="0C568028">
                <wp:extent cx="2403087" cy="2371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007" cy="2382202"/>
                        </a:xfrm>
                        <a:prstGeom prst="rect">
                          <a:avLst/>
                        </a:prstGeom>
                        <a:noFill/>
                      </pic:spPr>
                    </pic:pic>
                  </a:graphicData>
                </a:graphic>
              </wp:inline>
            </w:drawing>
          </w:r>
          <w:r>
            <w:br w:type="page"/>
          </w:r>
        </w:p>
      </w:sdtContent>
    </w:sdt>
    <w:sdt>
      <w:sdtPr>
        <w:rPr>
          <w:rFonts w:ascii="Calibri" w:eastAsia="Calibri" w:hAnsi="Calibri" w:cs="Times New Roman"/>
          <w:color w:val="auto"/>
          <w:sz w:val="22"/>
          <w:szCs w:val="22"/>
        </w:rPr>
        <w:id w:val="-1398506398"/>
        <w:docPartObj>
          <w:docPartGallery w:val="Table of Contents"/>
          <w:docPartUnique/>
        </w:docPartObj>
      </w:sdtPr>
      <w:sdtEndPr>
        <w:rPr>
          <w:b/>
          <w:bCs/>
          <w:noProof/>
        </w:rPr>
      </w:sdtEndPr>
      <w:sdtContent>
        <w:p w14:paraId="22ABC5AC" w14:textId="77777777" w:rsidR="00CB2046" w:rsidRPr="00D07211" w:rsidRDefault="00CB2046" w:rsidP="00CB2046">
          <w:pPr>
            <w:pStyle w:val="TOCHeading"/>
            <w:spacing w:after="240"/>
            <w:jc w:val="center"/>
          </w:pPr>
          <w:r w:rsidRPr="00D07211">
            <w:t>Table of Contents</w:t>
          </w:r>
        </w:p>
        <w:p w14:paraId="32CB1693" w14:textId="77777777" w:rsidR="00CB2046" w:rsidRPr="00D07211" w:rsidRDefault="00CB2046" w:rsidP="00CB2046">
          <w:pPr>
            <w:pStyle w:val="TOC2"/>
            <w:spacing w:before="240" w:after="240"/>
            <w:rPr>
              <w:rFonts w:asciiTheme="minorHAnsi" w:eastAsiaTheme="minorEastAsia" w:hAnsiTheme="minorHAnsi" w:cstheme="minorBidi"/>
              <w:b w:val="0"/>
              <w:bCs w:val="0"/>
              <w:sz w:val="24"/>
              <w:szCs w:val="24"/>
            </w:rPr>
          </w:pPr>
          <w:r w:rsidRPr="00D07211">
            <w:fldChar w:fldCharType="begin"/>
          </w:r>
          <w:r w:rsidRPr="00D07211">
            <w:instrText xml:space="preserve"> TOC \o "1-3" \h \z \u </w:instrText>
          </w:r>
          <w:r w:rsidRPr="00D07211">
            <w:fldChar w:fldCharType="separate"/>
          </w:r>
          <w:hyperlink w:anchor="_Toc86152490" w:history="1">
            <w:r w:rsidRPr="00D07211">
              <w:rPr>
                <w:rStyle w:val="Hyperlink"/>
                <w:b w:val="0"/>
                <w:bCs w:val="0"/>
                <w:sz w:val="24"/>
                <w:szCs w:val="24"/>
              </w:rPr>
              <w:t>CR-05 - Goals and Outcomes</w:t>
            </w:r>
            <w:r w:rsidRPr="00D07211">
              <w:rPr>
                <w:b w:val="0"/>
                <w:bCs w:val="0"/>
                <w:webHidden/>
                <w:sz w:val="24"/>
                <w:szCs w:val="24"/>
              </w:rPr>
              <w:tab/>
            </w:r>
            <w:r w:rsidRPr="00D07211">
              <w:rPr>
                <w:b w:val="0"/>
                <w:bCs w:val="0"/>
                <w:webHidden/>
                <w:sz w:val="24"/>
                <w:szCs w:val="24"/>
              </w:rPr>
              <w:fldChar w:fldCharType="begin"/>
            </w:r>
            <w:r w:rsidRPr="00D07211">
              <w:rPr>
                <w:b w:val="0"/>
                <w:bCs w:val="0"/>
                <w:webHidden/>
                <w:sz w:val="24"/>
                <w:szCs w:val="24"/>
              </w:rPr>
              <w:instrText xml:space="preserve"> PAGEREF _Toc86152490 \h </w:instrText>
            </w:r>
            <w:r w:rsidRPr="00D07211">
              <w:rPr>
                <w:b w:val="0"/>
                <w:bCs w:val="0"/>
                <w:webHidden/>
                <w:sz w:val="24"/>
                <w:szCs w:val="24"/>
              </w:rPr>
            </w:r>
            <w:r w:rsidRPr="00D07211">
              <w:rPr>
                <w:b w:val="0"/>
                <w:bCs w:val="0"/>
                <w:webHidden/>
                <w:sz w:val="24"/>
                <w:szCs w:val="24"/>
              </w:rPr>
              <w:fldChar w:fldCharType="separate"/>
            </w:r>
            <w:r w:rsidR="00365EF1" w:rsidRPr="00D07211">
              <w:rPr>
                <w:b w:val="0"/>
                <w:bCs w:val="0"/>
                <w:webHidden/>
                <w:sz w:val="24"/>
                <w:szCs w:val="24"/>
              </w:rPr>
              <w:t>3</w:t>
            </w:r>
            <w:r w:rsidRPr="00D07211">
              <w:rPr>
                <w:b w:val="0"/>
                <w:bCs w:val="0"/>
                <w:webHidden/>
                <w:sz w:val="24"/>
                <w:szCs w:val="24"/>
              </w:rPr>
              <w:fldChar w:fldCharType="end"/>
            </w:r>
          </w:hyperlink>
        </w:p>
        <w:p w14:paraId="342DDCFF" w14:textId="77777777" w:rsidR="00CB2046" w:rsidRPr="00D07211" w:rsidRDefault="00917970" w:rsidP="00CB2046">
          <w:pPr>
            <w:pStyle w:val="TOC2"/>
            <w:spacing w:before="240" w:after="240"/>
            <w:rPr>
              <w:rFonts w:asciiTheme="minorHAnsi" w:eastAsiaTheme="minorEastAsia" w:hAnsiTheme="minorHAnsi" w:cstheme="minorBidi"/>
              <w:b w:val="0"/>
              <w:bCs w:val="0"/>
              <w:sz w:val="24"/>
              <w:szCs w:val="24"/>
            </w:rPr>
          </w:pPr>
          <w:hyperlink w:anchor="_Toc86152491" w:history="1">
            <w:r w:rsidR="00CB2046" w:rsidRPr="00D07211">
              <w:rPr>
                <w:rStyle w:val="Hyperlink"/>
                <w:b w:val="0"/>
                <w:bCs w:val="0"/>
                <w:sz w:val="24"/>
                <w:szCs w:val="24"/>
              </w:rPr>
              <w:t>CR-10 - Racial and Ethnic composition of families assisted</w:t>
            </w:r>
            <w:r w:rsidR="00CB2046" w:rsidRPr="00D07211">
              <w:rPr>
                <w:b w:val="0"/>
                <w:bCs w:val="0"/>
                <w:webHidden/>
                <w:sz w:val="24"/>
                <w:szCs w:val="24"/>
              </w:rPr>
              <w:tab/>
            </w:r>
            <w:r w:rsidR="00CB2046" w:rsidRPr="00D07211">
              <w:rPr>
                <w:b w:val="0"/>
                <w:bCs w:val="0"/>
                <w:webHidden/>
                <w:sz w:val="24"/>
                <w:szCs w:val="24"/>
              </w:rPr>
              <w:fldChar w:fldCharType="begin"/>
            </w:r>
            <w:r w:rsidR="00CB2046" w:rsidRPr="00D07211">
              <w:rPr>
                <w:b w:val="0"/>
                <w:bCs w:val="0"/>
                <w:webHidden/>
                <w:sz w:val="24"/>
                <w:szCs w:val="24"/>
              </w:rPr>
              <w:instrText xml:space="preserve"> PAGEREF _Toc86152491 \h </w:instrText>
            </w:r>
            <w:r w:rsidR="00CB2046" w:rsidRPr="00D07211">
              <w:rPr>
                <w:b w:val="0"/>
                <w:bCs w:val="0"/>
                <w:webHidden/>
                <w:sz w:val="24"/>
                <w:szCs w:val="24"/>
              </w:rPr>
            </w:r>
            <w:r w:rsidR="00CB2046" w:rsidRPr="00D07211">
              <w:rPr>
                <w:b w:val="0"/>
                <w:bCs w:val="0"/>
                <w:webHidden/>
                <w:sz w:val="24"/>
                <w:szCs w:val="24"/>
              </w:rPr>
              <w:fldChar w:fldCharType="separate"/>
            </w:r>
            <w:r w:rsidR="00365EF1" w:rsidRPr="00D07211">
              <w:rPr>
                <w:b w:val="0"/>
                <w:bCs w:val="0"/>
                <w:webHidden/>
                <w:sz w:val="24"/>
                <w:szCs w:val="24"/>
              </w:rPr>
              <w:t>6</w:t>
            </w:r>
            <w:r w:rsidR="00CB2046" w:rsidRPr="00D07211">
              <w:rPr>
                <w:b w:val="0"/>
                <w:bCs w:val="0"/>
                <w:webHidden/>
                <w:sz w:val="24"/>
                <w:szCs w:val="24"/>
              </w:rPr>
              <w:fldChar w:fldCharType="end"/>
            </w:r>
          </w:hyperlink>
        </w:p>
        <w:p w14:paraId="5E83E313" w14:textId="77777777" w:rsidR="00CB2046" w:rsidRPr="00D07211" w:rsidRDefault="00917970" w:rsidP="00CB2046">
          <w:pPr>
            <w:pStyle w:val="TOC2"/>
            <w:spacing w:before="240" w:after="240"/>
            <w:rPr>
              <w:rFonts w:asciiTheme="minorHAnsi" w:eastAsiaTheme="minorEastAsia" w:hAnsiTheme="minorHAnsi" w:cstheme="minorBidi"/>
              <w:b w:val="0"/>
              <w:bCs w:val="0"/>
              <w:sz w:val="24"/>
              <w:szCs w:val="24"/>
            </w:rPr>
          </w:pPr>
          <w:hyperlink w:anchor="_Toc86152492" w:history="1">
            <w:r w:rsidR="00CB2046" w:rsidRPr="00D07211">
              <w:rPr>
                <w:rStyle w:val="Hyperlink"/>
                <w:b w:val="0"/>
                <w:bCs w:val="0"/>
                <w:sz w:val="24"/>
                <w:szCs w:val="24"/>
              </w:rPr>
              <w:t>CR-15 - Resources and Investments 91.520(a)</w:t>
            </w:r>
            <w:r w:rsidR="00CB2046" w:rsidRPr="00D07211">
              <w:rPr>
                <w:b w:val="0"/>
                <w:bCs w:val="0"/>
                <w:webHidden/>
                <w:sz w:val="24"/>
                <w:szCs w:val="24"/>
              </w:rPr>
              <w:tab/>
            </w:r>
            <w:r w:rsidR="00CB2046" w:rsidRPr="00D07211">
              <w:rPr>
                <w:b w:val="0"/>
                <w:bCs w:val="0"/>
                <w:webHidden/>
                <w:sz w:val="24"/>
                <w:szCs w:val="24"/>
              </w:rPr>
              <w:fldChar w:fldCharType="begin"/>
            </w:r>
            <w:r w:rsidR="00CB2046" w:rsidRPr="00D07211">
              <w:rPr>
                <w:b w:val="0"/>
                <w:bCs w:val="0"/>
                <w:webHidden/>
                <w:sz w:val="24"/>
                <w:szCs w:val="24"/>
              </w:rPr>
              <w:instrText xml:space="preserve"> PAGEREF _Toc86152492 \h </w:instrText>
            </w:r>
            <w:r w:rsidR="00CB2046" w:rsidRPr="00D07211">
              <w:rPr>
                <w:b w:val="0"/>
                <w:bCs w:val="0"/>
                <w:webHidden/>
                <w:sz w:val="24"/>
                <w:szCs w:val="24"/>
              </w:rPr>
            </w:r>
            <w:r w:rsidR="00CB2046" w:rsidRPr="00D07211">
              <w:rPr>
                <w:b w:val="0"/>
                <w:bCs w:val="0"/>
                <w:webHidden/>
                <w:sz w:val="24"/>
                <w:szCs w:val="24"/>
              </w:rPr>
              <w:fldChar w:fldCharType="separate"/>
            </w:r>
            <w:r w:rsidR="00365EF1" w:rsidRPr="00D07211">
              <w:rPr>
                <w:b w:val="0"/>
                <w:bCs w:val="0"/>
                <w:webHidden/>
                <w:sz w:val="24"/>
                <w:szCs w:val="24"/>
              </w:rPr>
              <w:t>6</w:t>
            </w:r>
            <w:r w:rsidR="00CB2046" w:rsidRPr="00D07211">
              <w:rPr>
                <w:b w:val="0"/>
                <w:bCs w:val="0"/>
                <w:webHidden/>
                <w:sz w:val="24"/>
                <w:szCs w:val="24"/>
              </w:rPr>
              <w:fldChar w:fldCharType="end"/>
            </w:r>
          </w:hyperlink>
        </w:p>
        <w:p w14:paraId="04AB31D6" w14:textId="77777777" w:rsidR="00CB2046" w:rsidRPr="00D07211" w:rsidRDefault="00917970" w:rsidP="00CB2046">
          <w:pPr>
            <w:pStyle w:val="TOC2"/>
            <w:spacing w:before="240" w:after="240"/>
            <w:rPr>
              <w:rFonts w:asciiTheme="minorHAnsi" w:eastAsiaTheme="minorEastAsia" w:hAnsiTheme="minorHAnsi" w:cstheme="minorBidi"/>
              <w:b w:val="0"/>
              <w:bCs w:val="0"/>
              <w:sz w:val="24"/>
              <w:szCs w:val="24"/>
            </w:rPr>
          </w:pPr>
          <w:hyperlink w:anchor="_Toc86152493" w:history="1">
            <w:r w:rsidR="00CB2046" w:rsidRPr="00D07211">
              <w:rPr>
                <w:rStyle w:val="Hyperlink"/>
                <w:b w:val="0"/>
                <w:bCs w:val="0"/>
                <w:sz w:val="24"/>
                <w:szCs w:val="24"/>
              </w:rPr>
              <w:t>CR-20 - Affordable Housing 91.520(b)</w:t>
            </w:r>
            <w:r w:rsidR="00CB2046" w:rsidRPr="00D07211">
              <w:rPr>
                <w:b w:val="0"/>
                <w:bCs w:val="0"/>
                <w:webHidden/>
                <w:sz w:val="24"/>
                <w:szCs w:val="24"/>
              </w:rPr>
              <w:tab/>
            </w:r>
            <w:r w:rsidR="00CB2046" w:rsidRPr="00D07211">
              <w:rPr>
                <w:b w:val="0"/>
                <w:bCs w:val="0"/>
                <w:webHidden/>
                <w:sz w:val="24"/>
                <w:szCs w:val="24"/>
              </w:rPr>
              <w:fldChar w:fldCharType="begin"/>
            </w:r>
            <w:r w:rsidR="00CB2046" w:rsidRPr="00D07211">
              <w:rPr>
                <w:b w:val="0"/>
                <w:bCs w:val="0"/>
                <w:webHidden/>
                <w:sz w:val="24"/>
                <w:szCs w:val="24"/>
              </w:rPr>
              <w:instrText xml:space="preserve"> PAGEREF _Toc86152493 \h </w:instrText>
            </w:r>
            <w:r w:rsidR="00CB2046" w:rsidRPr="00D07211">
              <w:rPr>
                <w:b w:val="0"/>
                <w:bCs w:val="0"/>
                <w:webHidden/>
                <w:sz w:val="24"/>
                <w:szCs w:val="24"/>
              </w:rPr>
            </w:r>
            <w:r w:rsidR="00CB2046" w:rsidRPr="00D07211">
              <w:rPr>
                <w:b w:val="0"/>
                <w:bCs w:val="0"/>
                <w:webHidden/>
                <w:sz w:val="24"/>
                <w:szCs w:val="24"/>
              </w:rPr>
              <w:fldChar w:fldCharType="separate"/>
            </w:r>
            <w:r w:rsidR="00365EF1" w:rsidRPr="00D07211">
              <w:rPr>
                <w:b w:val="0"/>
                <w:bCs w:val="0"/>
                <w:webHidden/>
                <w:sz w:val="24"/>
                <w:szCs w:val="24"/>
              </w:rPr>
              <w:t>9</w:t>
            </w:r>
            <w:r w:rsidR="00CB2046" w:rsidRPr="00D07211">
              <w:rPr>
                <w:b w:val="0"/>
                <w:bCs w:val="0"/>
                <w:webHidden/>
                <w:sz w:val="24"/>
                <w:szCs w:val="24"/>
              </w:rPr>
              <w:fldChar w:fldCharType="end"/>
            </w:r>
          </w:hyperlink>
        </w:p>
        <w:p w14:paraId="36A3A1BB" w14:textId="77777777" w:rsidR="00CB2046" w:rsidRPr="00D07211" w:rsidRDefault="00917970" w:rsidP="00CB2046">
          <w:pPr>
            <w:pStyle w:val="TOC2"/>
            <w:spacing w:before="240" w:after="240"/>
            <w:rPr>
              <w:rFonts w:asciiTheme="minorHAnsi" w:eastAsiaTheme="minorEastAsia" w:hAnsiTheme="minorHAnsi" w:cstheme="minorBidi"/>
              <w:b w:val="0"/>
              <w:bCs w:val="0"/>
              <w:sz w:val="24"/>
              <w:szCs w:val="24"/>
            </w:rPr>
          </w:pPr>
          <w:hyperlink w:anchor="_Toc86152494" w:history="1">
            <w:r w:rsidR="00CB2046" w:rsidRPr="00D07211">
              <w:rPr>
                <w:rStyle w:val="Hyperlink"/>
                <w:b w:val="0"/>
                <w:bCs w:val="0"/>
                <w:sz w:val="24"/>
                <w:szCs w:val="24"/>
              </w:rPr>
              <w:t>CR-25 - Homeless and Other Special Needs 91.220(d, e); 91.320(d, e); 91.520(c)</w:t>
            </w:r>
            <w:r w:rsidR="00CB2046" w:rsidRPr="00D07211">
              <w:rPr>
                <w:b w:val="0"/>
                <w:bCs w:val="0"/>
                <w:webHidden/>
                <w:sz w:val="24"/>
                <w:szCs w:val="24"/>
              </w:rPr>
              <w:tab/>
            </w:r>
            <w:r w:rsidR="00CB2046" w:rsidRPr="00D07211">
              <w:rPr>
                <w:b w:val="0"/>
                <w:bCs w:val="0"/>
                <w:webHidden/>
                <w:sz w:val="24"/>
                <w:szCs w:val="24"/>
              </w:rPr>
              <w:fldChar w:fldCharType="begin"/>
            </w:r>
            <w:r w:rsidR="00CB2046" w:rsidRPr="00D07211">
              <w:rPr>
                <w:b w:val="0"/>
                <w:bCs w:val="0"/>
                <w:webHidden/>
                <w:sz w:val="24"/>
                <w:szCs w:val="24"/>
              </w:rPr>
              <w:instrText xml:space="preserve"> PAGEREF _Toc86152494 \h </w:instrText>
            </w:r>
            <w:r w:rsidR="00CB2046" w:rsidRPr="00D07211">
              <w:rPr>
                <w:b w:val="0"/>
                <w:bCs w:val="0"/>
                <w:webHidden/>
                <w:sz w:val="24"/>
                <w:szCs w:val="24"/>
              </w:rPr>
            </w:r>
            <w:r w:rsidR="00CB2046" w:rsidRPr="00D07211">
              <w:rPr>
                <w:b w:val="0"/>
                <w:bCs w:val="0"/>
                <w:webHidden/>
                <w:sz w:val="24"/>
                <w:szCs w:val="24"/>
              </w:rPr>
              <w:fldChar w:fldCharType="separate"/>
            </w:r>
            <w:r w:rsidR="00365EF1" w:rsidRPr="00D07211">
              <w:rPr>
                <w:b w:val="0"/>
                <w:bCs w:val="0"/>
                <w:webHidden/>
                <w:sz w:val="24"/>
                <w:szCs w:val="24"/>
              </w:rPr>
              <w:t>11</w:t>
            </w:r>
            <w:r w:rsidR="00CB2046" w:rsidRPr="00D07211">
              <w:rPr>
                <w:b w:val="0"/>
                <w:bCs w:val="0"/>
                <w:webHidden/>
                <w:sz w:val="24"/>
                <w:szCs w:val="24"/>
              </w:rPr>
              <w:fldChar w:fldCharType="end"/>
            </w:r>
          </w:hyperlink>
        </w:p>
        <w:p w14:paraId="3E80453F" w14:textId="77777777" w:rsidR="00CB2046" w:rsidRPr="00D07211" w:rsidRDefault="00917970" w:rsidP="00CB2046">
          <w:pPr>
            <w:pStyle w:val="TOC2"/>
            <w:spacing w:before="240" w:after="240"/>
            <w:rPr>
              <w:rFonts w:asciiTheme="minorHAnsi" w:eastAsiaTheme="minorEastAsia" w:hAnsiTheme="minorHAnsi" w:cstheme="minorBidi"/>
              <w:b w:val="0"/>
              <w:bCs w:val="0"/>
              <w:sz w:val="24"/>
              <w:szCs w:val="24"/>
            </w:rPr>
          </w:pPr>
          <w:hyperlink w:anchor="_Toc86152495" w:history="1">
            <w:r w:rsidR="00CB2046" w:rsidRPr="00D07211">
              <w:rPr>
                <w:rStyle w:val="Hyperlink"/>
                <w:b w:val="0"/>
                <w:bCs w:val="0"/>
                <w:sz w:val="24"/>
                <w:szCs w:val="24"/>
              </w:rPr>
              <w:t>CR-30 - Public Housing 91.220(h); 91.320(j)</w:t>
            </w:r>
            <w:r w:rsidR="00CB2046" w:rsidRPr="00D07211">
              <w:rPr>
                <w:b w:val="0"/>
                <w:bCs w:val="0"/>
                <w:webHidden/>
                <w:sz w:val="24"/>
                <w:szCs w:val="24"/>
              </w:rPr>
              <w:tab/>
            </w:r>
            <w:r w:rsidR="00CB2046" w:rsidRPr="00D07211">
              <w:rPr>
                <w:b w:val="0"/>
                <w:bCs w:val="0"/>
                <w:webHidden/>
                <w:sz w:val="24"/>
                <w:szCs w:val="24"/>
              </w:rPr>
              <w:fldChar w:fldCharType="begin"/>
            </w:r>
            <w:r w:rsidR="00CB2046" w:rsidRPr="00D07211">
              <w:rPr>
                <w:b w:val="0"/>
                <w:bCs w:val="0"/>
                <w:webHidden/>
                <w:sz w:val="24"/>
                <w:szCs w:val="24"/>
              </w:rPr>
              <w:instrText xml:space="preserve"> PAGEREF _Toc86152495 \h </w:instrText>
            </w:r>
            <w:r w:rsidR="00CB2046" w:rsidRPr="00D07211">
              <w:rPr>
                <w:b w:val="0"/>
                <w:bCs w:val="0"/>
                <w:webHidden/>
                <w:sz w:val="24"/>
                <w:szCs w:val="24"/>
              </w:rPr>
            </w:r>
            <w:r w:rsidR="00CB2046" w:rsidRPr="00D07211">
              <w:rPr>
                <w:b w:val="0"/>
                <w:bCs w:val="0"/>
                <w:webHidden/>
                <w:sz w:val="24"/>
                <w:szCs w:val="24"/>
              </w:rPr>
              <w:fldChar w:fldCharType="separate"/>
            </w:r>
            <w:r w:rsidR="00365EF1" w:rsidRPr="00D07211">
              <w:rPr>
                <w:b w:val="0"/>
                <w:bCs w:val="0"/>
                <w:webHidden/>
                <w:sz w:val="24"/>
                <w:szCs w:val="24"/>
              </w:rPr>
              <w:t>12</w:t>
            </w:r>
            <w:r w:rsidR="00CB2046" w:rsidRPr="00D07211">
              <w:rPr>
                <w:b w:val="0"/>
                <w:bCs w:val="0"/>
                <w:webHidden/>
                <w:sz w:val="24"/>
                <w:szCs w:val="24"/>
              </w:rPr>
              <w:fldChar w:fldCharType="end"/>
            </w:r>
          </w:hyperlink>
        </w:p>
        <w:p w14:paraId="59ED5235" w14:textId="77777777" w:rsidR="00CB2046" w:rsidRPr="00D07211" w:rsidRDefault="00917970" w:rsidP="00CB2046">
          <w:pPr>
            <w:pStyle w:val="TOC2"/>
            <w:spacing w:before="240" w:after="240"/>
            <w:rPr>
              <w:rFonts w:asciiTheme="minorHAnsi" w:eastAsiaTheme="minorEastAsia" w:hAnsiTheme="minorHAnsi" w:cstheme="minorBidi"/>
              <w:b w:val="0"/>
              <w:bCs w:val="0"/>
              <w:sz w:val="24"/>
              <w:szCs w:val="24"/>
            </w:rPr>
          </w:pPr>
          <w:hyperlink w:anchor="_Toc86152496" w:history="1">
            <w:r w:rsidR="00CB2046" w:rsidRPr="00D07211">
              <w:rPr>
                <w:rStyle w:val="Hyperlink"/>
                <w:b w:val="0"/>
                <w:bCs w:val="0"/>
                <w:sz w:val="24"/>
                <w:szCs w:val="24"/>
              </w:rPr>
              <w:t>CR-35 - Other Actions 91.220(j)-(k); 91.320(i)-(j)</w:t>
            </w:r>
            <w:r w:rsidR="00CB2046" w:rsidRPr="00D07211">
              <w:rPr>
                <w:b w:val="0"/>
                <w:bCs w:val="0"/>
                <w:webHidden/>
                <w:sz w:val="24"/>
                <w:szCs w:val="24"/>
              </w:rPr>
              <w:tab/>
            </w:r>
            <w:r w:rsidR="00CB2046" w:rsidRPr="00D07211">
              <w:rPr>
                <w:b w:val="0"/>
                <w:bCs w:val="0"/>
                <w:webHidden/>
                <w:sz w:val="24"/>
                <w:szCs w:val="24"/>
              </w:rPr>
              <w:fldChar w:fldCharType="begin"/>
            </w:r>
            <w:r w:rsidR="00CB2046" w:rsidRPr="00D07211">
              <w:rPr>
                <w:b w:val="0"/>
                <w:bCs w:val="0"/>
                <w:webHidden/>
                <w:sz w:val="24"/>
                <w:szCs w:val="24"/>
              </w:rPr>
              <w:instrText xml:space="preserve"> PAGEREF _Toc86152496 \h </w:instrText>
            </w:r>
            <w:r w:rsidR="00CB2046" w:rsidRPr="00D07211">
              <w:rPr>
                <w:b w:val="0"/>
                <w:bCs w:val="0"/>
                <w:webHidden/>
                <w:sz w:val="24"/>
                <w:szCs w:val="24"/>
              </w:rPr>
            </w:r>
            <w:r w:rsidR="00CB2046" w:rsidRPr="00D07211">
              <w:rPr>
                <w:b w:val="0"/>
                <w:bCs w:val="0"/>
                <w:webHidden/>
                <w:sz w:val="24"/>
                <w:szCs w:val="24"/>
              </w:rPr>
              <w:fldChar w:fldCharType="separate"/>
            </w:r>
            <w:r w:rsidR="00365EF1" w:rsidRPr="00D07211">
              <w:rPr>
                <w:b w:val="0"/>
                <w:bCs w:val="0"/>
                <w:webHidden/>
                <w:sz w:val="24"/>
                <w:szCs w:val="24"/>
              </w:rPr>
              <w:t>13</w:t>
            </w:r>
            <w:r w:rsidR="00CB2046" w:rsidRPr="00D07211">
              <w:rPr>
                <w:b w:val="0"/>
                <w:bCs w:val="0"/>
                <w:webHidden/>
                <w:sz w:val="24"/>
                <w:szCs w:val="24"/>
              </w:rPr>
              <w:fldChar w:fldCharType="end"/>
            </w:r>
          </w:hyperlink>
        </w:p>
        <w:p w14:paraId="0077B0AC" w14:textId="77777777" w:rsidR="00CB2046" w:rsidRPr="00D07211" w:rsidRDefault="00917970" w:rsidP="00CB2046">
          <w:pPr>
            <w:pStyle w:val="TOC2"/>
            <w:spacing w:before="240" w:after="240"/>
            <w:rPr>
              <w:rFonts w:asciiTheme="minorHAnsi" w:eastAsiaTheme="minorEastAsia" w:hAnsiTheme="minorHAnsi" w:cstheme="minorBidi"/>
              <w:b w:val="0"/>
              <w:bCs w:val="0"/>
              <w:sz w:val="24"/>
              <w:szCs w:val="24"/>
            </w:rPr>
          </w:pPr>
          <w:hyperlink w:anchor="_Toc86152497" w:history="1">
            <w:r w:rsidR="00CB2046" w:rsidRPr="00D07211">
              <w:rPr>
                <w:rStyle w:val="Hyperlink"/>
                <w:b w:val="0"/>
                <w:bCs w:val="0"/>
                <w:sz w:val="24"/>
                <w:szCs w:val="24"/>
              </w:rPr>
              <w:t>CR-40 - Monitoring 91.220 and 91.230</w:t>
            </w:r>
            <w:r w:rsidR="00CB2046" w:rsidRPr="00D07211">
              <w:rPr>
                <w:b w:val="0"/>
                <w:bCs w:val="0"/>
                <w:webHidden/>
                <w:sz w:val="24"/>
                <w:szCs w:val="24"/>
              </w:rPr>
              <w:tab/>
            </w:r>
            <w:r w:rsidR="00CB2046" w:rsidRPr="00D07211">
              <w:rPr>
                <w:b w:val="0"/>
                <w:bCs w:val="0"/>
                <w:webHidden/>
                <w:sz w:val="24"/>
                <w:szCs w:val="24"/>
              </w:rPr>
              <w:fldChar w:fldCharType="begin"/>
            </w:r>
            <w:r w:rsidR="00CB2046" w:rsidRPr="00D07211">
              <w:rPr>
                <w:b w:val="0"/>
                <w:bCs w:val="0"/>
                <w:webHidden/>
                <w:sz w:val="24"/>
                <w:szCs w:val="24"/>
              </w:rPr>
              <w:instrText xml:space="preserve"> PAGEREF _Toc86152497 \h </w:instrText>
            </w:r>
            <w:r w:rsidR="00CB2046" w:rsidRPr="00D07211">
              <w:rPr>
                <w:b w:val="0"/>
                <w:bCs w:val="0"/>
                <w:webHidden/>
                <w:sz w:val="24"/>
                <w:szCs w:val="24"/>
              </w:rPr>
            </w:r>
            <w:r w:rsidR="00CB2046" w:rsidRPr="00D07211">
              <w:rPr>
                <w:b w:val="0"/>
                <w:bCs w:val="0"/>
                <w:webHidden/>
                <w:sz w:val="24"/>
                <w:szCs w:val="24"/>
              </w:rPr>
              <w:fldChar w:fldCharType="separate"/>
            </w:r>
            <w:r w:rsidR="00365EF1" w:rsidRPr="00D07211">
              <w:rPr>
                <w:b w:val="0"/>
                <w:bCs w:val="0"/>
                <w:webHidden/>
                <w:sz w:val="24"/>
                <w:szCs w:val="24"/>
              </w:rPr>
              <w:t>14</w:t>
            </w:r>
            <w:r w:rsidR="00CB2046" w:rsidRPr="00D07211">
              <w:rPr>
                <w:b w:val="0"/>
                <w:bCs w:val="0"/>
                <w:webHidden/>
                <w:sz w:val="24"/>
                <w:szCs w:val="24"/>
              </w:rPr>
              <w:fldChar w:fldCharType="end"/>
            </w:r>
          </w:hyperlink>
        </w:p>
        <w:p w14:paraId="0AC15BCD" w14:textId="77777777" w:rsidR="00CB2046" w:rsidRPr="00D07211" w:rsidRDefault="00917970" w:rsidP="00CB2046">
          <w:pPr>
            <w:pStyle w:val="TOC2"/>
            <w:spacing w:before="240" w:after="240"/>
            <w:rPr>
              <w:rFonts w:asciiTheme="minorHAnsi" w:eastAsiaTheme="minorEastAsia" w:hAnsiTheme="minorHAnsi" w:cstheme="minorBidi"/>
              <w:b w:val="0"/>
              <w:bCs w:val="0"/>
              <w:sz w:val="24"/>
              <w:szCs w:val="24"/>
            </w:rPr>
          </w:pPr>
          <w:hyperlink w:anchor="_Toc86152498" w:history="1">
            <w:r w:rsidR="00CB2046" w:rsidRPr="00D07211">
              <w:rPr>
                <w:rStyle w:val="Hyperlink"/>
                <w:rFonts w:cs="Arial"/>
                <w:b w:val="0"/>
                <w:bCs w:val="0"/>
                <w:sz w:val="24"/>
                <w:szCs w:val="24"/>
              </w:rPr>
              <w:t>CR-45 - CDBG 91.520(c)</w:t>
            </w:r>
            <w:r w:rsidR="00CB2046" w:rsidRPr="00D07211">
              <w:rPr>
                <w:b w:val="0"/>
                <w:bCs w:val="0"/>
                <w:webHidden/>
                <w:sz w:val="24"/>
                <w:szCs w:val="24"/>
              </w:rPr>
              <w:tab/>
            </w:r>
            <w:r w:rsidR="00CB2046" w:rsidRPr="00D07211">
              <w:rPr>
                <w:b w:val="0"/>
                <w:bCs w:val="0"/>
                <w:webHidden/>
                <w:sz w:val="24"/>
                <w:szCs w:val="24"/>
              </w:rPr>
              <w:fldChar w:fldCharType="begin"/>
            </w:r>
            <w:r w:rsidR="00CB2046" w:rsidRPr="00D07211">
              <w:rPr>
                <w:b w:val="0"/>
                <w:bCs w:val="0"/>
                <w:webHidden/>
                <w:sz w:val="24"/>
                <w:szCs w:val="24"/>
              </w:rPr>
              <w:instrText xml:space="preserve"> PAGEREF _Toc86152498 \h </w:instrText>
            </w:r>
            <w:r w:rsidR="00CB2046" w:rsidRPr="00D07211">
              <w:rPr>
                <w:b w:val="0"/>
                <w:bCs w:val="0"/>
                <w:webHidden/>
                <w:sz w:val="24"/>
                <w:szCs w:val="24"/>
              </w:rPr>
            </w:r>
            <w:r w:rsidR="00CB2046" w:rsidRPr="00D07211">
              <w:rPr>
                <w:b w:val="0"/>
                <w:bCs w:val="0"/>
                <w:webHidden/>
                <w:sz w:val="24"/>
                <w:szCs w:val="24"/>
              </w:rPr>
              <w:fldChar w:fldCharType="separate"/>
            </w:r>
            <w:r w:rsidR="00365EF1" w:rsidRPr="00D07211">
              <w:rPr>
                <w:b w:val="0"/>
                <w:bCs w:val="0"/>
                <w:webHidden/>
                <w:sz w:val="24"/>
                <w:szCs w:val="24"/>
              </w:rPr>
              <w:t>15</w:t>
            </w:r>
            <w:r w:rsidR="00CB2046" w:rsidRPr="00D07211">
              <w:rPr>
                <w:b w:val="0"/>
                <w:bCs w:val="0"/>
                <w:webHidden/>
                <w:sz w:val="24"/>
                <w:szCs w:val="24"/>
              </w:rPr>
              <w:fldChar w:fldCharType="end"/>
            </w:r>
          </w:hyperlink>
        </w:p>
        <w:p w14:paraId="36EB8C7C" w14:textId="77777777" w:rsidR="00CB2046" w:rsidRPr="00D07211" w:rsidRDefault="00917970" w:rsidP="00CB2046">
          <w:pPr>
            <w:pStyle w:val="TOC2"/>
            <w:spacing w:before="240" w:after="240"/>
            <w:rPr>
              <w:rFonts w:asciiTheme="minorHAnsi" w:eastAsiaTheme="minorEastAsia" w:hAnsiTheme="minorHAnsi" w:cstheme="minorBidi"/>
              <w:b w:val="0"/>
              <w:bCs w:val="0"/>
              <w:sz w:val="24"/>
              <w:szCs w:val="24"/>
            </w:rPr>
          </w:pPr>
          <w:hyperlink w:anchor="_Toc86152499" w:history="1">
            <w:r w:rsidR="00CB2046" w:rsidRPr="00D07211">
              <w:rPr>
                <w:rStyle w:val="Hyperlink"/>
                <w:b w:val="0"/>
                <w:bCs w:val="0"/>
                <w:sz w:val="24"/>
                <w:szCs w:val="24"/>
              </w:rPr>
              <w:t>CR-50 - HOME 91.520(d)</w:t>
            </w:r>
            <w:r w:rsidR="00CB2046" w:rsidRPr="00D07211">
              <w:rPr>
                <w:b w:val="0"/>
                <w:bCs w:val="0"/>
                <w:webHidden/>
                <w:sz w:val="24"/>
                <w:szCs w:val="24"/>
              </w:rPr>
              <w:tab/>
            </w:r>
            <w:r w:rsidR="00CB2046" w:rsidRPr="00D07211">
              <w:rPr>
                <w:b w:val="0"/>
                <w:bCs w:val="0"/>
                <w:webHidden/>
                <w:sz w:val="24"/>
                <w:szCs w:val="24"/>
              </w:rPr>
              <w:fldChar w:fldCharType="begin"/>
            </w:r>
            <w:r w:rsidR="00CB2046" w:rsidRPr="00D07211">
              <w:rPr>
                <w:b w:val="0"/>
                <w:bCs w:val="0"/>
                <w:webHidden/>
                <w:sz w:val="24"/>
                <w:szCs w:val="24"/>
              </w:rPr>
              <w:instrText xml:space="preserve"> PAGEREF _Toc86152499 \h </w:instrText>
            </w:r>
            <w:r w:rsidR="00CB2046" w:rsidRPr="00D07211">
              <w:rPr>
                <w:b w:val="0"/>
                <w:bCs w:val="0"/>
                <w:webHidden/>
                <w:sz w:val="24"/>
                <w:szCs w:val="24"/>
              </w:rPr>
            </w:r>
            <w:r w:rsidR="00CB2046" w:rsidRPr="00D07211">
              <w:rPr>
                <w:b w:val="0"/>
                <w:bCs w:val="0"/>
                <w:webHidden/>
                <w:sz w:val="24"/>
                <w:szCs w:val="24"/>
              </w:rPr>
              <w:fldChar w:fldCharType="separate"/>
            </w:r>
            <w:r w:rsidR="00365EF1" w:rsidRPr="00D07211">
              <w:rPr>
                <w:b w:val="0"/>
                <w:bCs w:val="0"/>
                <w:webHidden/>
                <w:sz w:val="24"/>
                <w:szCs w:val="24"/>
              </w:rPr>
              <w:t>16</w:t>
            </w:r>
            <w:r w:rsidR="00CB2046" w:rsidRPr="00D07211">
              <w:rPr>
                <w:b w:val="0"/>
                <w:bCs w:val="0"/>
                <w:webHidden/>
                <w:sz w:val="24"/>
                <w:szCs w:val="24"/>
              </w:rPr>
              <w:fldChar w:fldCharType="end"/>
            </w:r>
          </w:hyperlink>
        </w:p>
        <w:p w14:paraId="05793B31" w14:textId="77777777" w:rsidR="00CB2046" w:rsidRDefault="00CB2046" w:rsidP="00CB2046">
          <w:pPr>
            <w:spacing w:before="240" w:after="240"/>
            <w:jc w:val="both"/>
          </w:pPr>
          <w:r w:rsidRPr="00D07211">
            <w:rPr>
              <w:b/>
              <w:bCs/>
              <w:noProof/>
            </w:rPr>
            <w:fldChar w:fldCharType="end"/>
          </w:r>
        </w:p>
      </w:sdtContent>
    </w:sdt>
    <w:p w14:paraId="16E08332" w14:textId="77777777" w:rsidR="00CB2046" w:rsidRDefault="00CB2046" w:rsidP="00CB2046">
      <w:pPr>
        <w:pStyle w:val="Heading2"/>
        <w:jc w:val="both"/>
        <w:rPr>
          <w:rFonts w:ascii="Calibri" w:hAnsi="Calibri"/>
          <w:i w:val="0"/>
        </w:rPr>
      </w:pPr>
    </w:p>
    <w:p w14:paraId="3E15D813" w14:textId="77777777" w:rsidR="00CB2046" w:rsidRDefault="00CB2046" w:rsidP="00CB2046">
      <w:pPr>
        <w:jc w:val="both"/>
        <w:rPr>
          <w:rFonts w:cs="Arial"/>
          <w:sz w:val="28"/>
          <w:szCs w:val="28"/>
        </w:rPr>
      </w:pPr>
    </w:p>
    <w:p w14:paraId="670F329B" w14:textId="77777777" w:rsidR="00365EF1" w:rsidRDefault="00365EF1" w:rsidP="00CB2046">
      <w:pPr>
        <w:pStyle w:val="Heading2"/>
        <w:jc w:val="both"/>
        <w:rPr>
          <w:rFonts w:ascii="Calibri" w:hAnsi="Calibri"/>
          <w:i w:val="0"/>
        </w:rPr>
      </w:pPr>
      <w:bookmarkStart w:id="0" w:name="_Toc86152490"/>
      <w:r>
        <w:rPr>
          <w:rFonts w:ascii="Calibri" w:hAnsi="Calibri"/>
          <w:i w:val="0"/>
        </w:rPr>
        <w:br w:type="page"/>
      </w:r>
    </w:p>
    <w:p w14:paraId="4D155F1E" w14:textId="77777777" w:rsidR="002E2DD7" w:rsidRDefault="002E2DD7" w:rsidP="002E2DD7">
      <w:pPr>
        <w:pStyle w:val="Heading2"/>
        <w:rPr>
          <w:rFonts w:ascii="Calibri" w:hAnsi="Calibri"/>
          <w:i w:val="0"/>
        </w:rPr>
      </w:pPr>
      <w:bookmarkStart w:id="1" w:name="_Toc58494542"/>
      <w:r>
        <w:rPr>
          <w:rFonts w:ascii="Calibri" w:hAnsi="Calibri"/>
          <w:i w:val="0"/>
        </w:rPr>
        <w:lastRenderedPageBreak/>
        <w:t>Executive Summary</w:t>
      </w:r>
      <w:bookmarkEnd w:id="1"/>
    </w:p>
    <w:p w14:paraId="47EED093" w14:textId="77777777" w:rsidR="00D0416C" w:rsidRPr="00D07211" w:rsidRDefault="002B09DF" w:rsidP="00D07211">
      <w:pPr>
        <w:pStyle w:val="Heading2"/>
        <w:shd w:val="clear" w:color="auto" w:fill="1F497D" w:themeFill="text2"/>
        <w:jc w:val="both"/>
        <w:rPr>
          <w:rFonts w:ascii="Calibri" w:hAnsi="Calibri"/>
          <w:i w:val="0"/>
          <w:color w:val="FFFFFF" w:themeColor="background1"/>
        </w:rPr>
      </w:pPr>
      <w:r w:rsidRPr="00D07211">
        <w:rPr>
          <w:rFonts w:ascii="Calibri" w:hAnsi="Calibri"/>
          <w:i w:val="0"/>
          <w:color w:val="FFFFFF" w:themeColor="background1"/>
        </w:rPr>
        <w:t>CR-05 - Goals and Outcomes</w:t>
      </w:r>
      <w:bookmarkEnd w:id="0"/>
    </w:p>
    <w:p w14:paraId="1CA0FB90" w14:textId="168B6FEA" w:rsidR="00D0416C" w:rsidRPr="003A0B9F" w:rsidRDefault="002B09DF" w:rsidP="00CB2046">
      <w:pPr>
        <w:keepNext/>
        <w:widowControl w:val="0"/>
        <w:spacing w:after="0" w:line="240" w:lineRule="auto"/>
        <w:jc w:val="both"/>
        <w:rPr>
          <w:i/>
          <w:iCs/>
        </w:rPr>
      </w:pPr>
      <w:r>
        <w:rPr>
          <w:b/>
          <w:sz w:val="24"/>
          <w:szCs w:val="24"/>
        </w:rPr>
        <w:t xml:space="preserve">Progress the </w:t>
      </w:r>
      <w:r w:rsidR="00D07211">
        <w:rPr>
          <w:b/>
          <w:sz w:val="24"/>
          <w:szCs w:val="24"/>
        </w:rPr>
        <w:t>J</w:t>
      </w:r>
      <w:r>
        <w:rPr>
          <w:b/>
          <w:sz w:val="24"/>
          <w:szCs w:val="24"/>
        </w:rPr>
        <w:t>urisdiction has made in carrying out its strategic plan and its action plan.  91.520(a)</w:t>
      </w:r>
      <w:r>
        <w:rPr>
          <w:b/>
          <w:sz w:val="28"/>
          <w:szCs w:val="28"/>
        </w:rPr>
        <w:t xml:space="preserve"> </w:t>
      </w:r>
      <w:r w:rsidR="003A0B9F">
        <w:rPr>
          <w:b/>
          <w:sz w:val="28"/>
          <w:szCs w:val="28"/>
        </w:rPr>
        <w:t xml:space="preserve">- </w:t>
      </w:r>
      <w:r w:rsidRPr="003A0B9F">
        <w:rPr>
          <w:i/>
          <w:iCs/>
        </w:rPr>
        <w:t>This could be an overview that includes major initiatives and highlights proposed and executed throughout the program year.</w:t>
      </w:r>
    </w:p>
    <w:p w14:paraId="66DF8014" w14:textId="77777777" w:rsidR="00D0416C" w:rsidRDefault="00D0416C" w:rsidP="00CB2046">
      <w:pPr>
        <w:keepNext/>
        <w:widowControl w:val="0"/>
        <w:spacing w:after="0" w:line="240" w:lineRule="auto"/>
        <w:jc w:val="both"/>
        <w:rPr>
          <w:b/>
        </w:rPr>
      </w:pPr>
    </w:p>
    <w:p w14:paraId="27416505" w14:textId="2F5AAA52" w:rsidR="002E2DD7" w:rsidRPr="00843AA2" w:rsidRDefault="00D07211" w:rsidP="00D07211">
      <w:pPr>
        <w:pStyle w:val="Default"/>
        <w:spacing w:after="200"/>
        <w:jc w:val="both"/>
        <w:rPr>
          <w:rFonts w:asciiTheme="minorHAnsi" w:hAnsiTheme="minorHAnsi"/>
          <w:sz w:val="23"/>
          <w:szCs w:val="23"/>
        </w:rPr>
      </w:pPr>
      <w:r>
        <w:rPr>
          <w:rFonts w:asciiTheme="minorHAnsi" w:hAnsiTheme="minorHAnsi"/>
          <w:sz w:val="23"/>
          <w:szCs w:val="23"/>
        </w:rPr>
        <w:t>Under</w:t>
      </w:r>
      <w:r w:rsidR="002E2DD7" w:rsidRPr="00843AA2">
        <w:rPr>
          <w:rFonts w:asciiTheme="minorHAnsi" w:hAnsiTheme="minorHAnsi"/>
          <w:sz w:val="23"/>
          <w:szCs w:val="23"/>
        </w:rPr>
        <w:t xml:space="preserve"> the federal regulations found in 24 CFR 570, the City of Anniston has prepared this Consolidated Annual Performance and Evaluation Report (CAPER) f</w:t>
      </w:r>
      <w:r>
        <w:rPr>
          <w:rFonts w:asciiTheme="minorHAnsi" w:hAnsiTheme="minorHAnsi"/>
          <w:sz w:val="23"/>
          <w:szCs w:val="23"/>
        </w:rPr>
        <w:t>rom</w:t>
      </w:r>
      <w:r w:rsidR="002E2DD7" w:rsidRPr="00843AA2">
        <w:rPr>
          <w:rFonts w:asciiTheme="minorHAnsi" w:hAnsiTheme="minorHAnsi"/>
          <w:sz w:val="23"/>
          <w:szCs w:val="23"/>
        </w:rPr>
        <w:t xml:space="preserve"> October 1, 20</w:t>
      </w:r>
      <w:r w:rsidR="002E2DD7">
        <w:rPr>
          <w:rFonts w:asciiTheme="minorHAnsi" w:hAnsiTheme="minorHAnsi"/>
          <w:sz w:val="23"/>
          <w:szCs w:val="23"/>
        </w:rPr>
        <w:t>20</w:t>
      </w:r>
      <w:r>
        <w:rPr>
          <w:rFonts w:asciiTheme="minorHAnsi" w:hAnsiTheme="minorHAnsi"/>
          <w:sz w:val="23"/>
          <w:szCs w:val="23"/>
        </w:rPr>
        <w:t>,</w:t>
      </w:r>
      <w:r w:rsidR="002E2DD7" w:rsidRPr="00843AA2">
        <w:rPr>
          <w:rFonts w:asciiTheme="minorHAnsi" w:hAnsiTheme="minorHAnsi"/>
          <w:sz w:val="23"/>
          <w:szCs w:val="23"/>
        </w:rPr>
        <w:t xml:space="preserve"> to September 30, 20</w:t>
      </w:r>
      <w:r w:rsidR="002E2DD7">
        <w:rPr>
          <w:rFonts w:asciiTheme="minorHAnsi" w:hAnsiTheme="minorHAnsi"/>
          <w:sz w:val="23"/>
          <w:szCs w:val="23"/>
        </w:rPr>
        <w:t>21</w:t>
      </w:r>
      <w:r w:rsidR="002E2DD7" w:rsidRPr="00843AA2">
        <w:rPr>
          <w:rFonts w:asciiTheme="minorHAnsi" w:hAnsiTheme="minorHAnsi"/>
          <w:sz w:val="23"/>
          <w:szCs w:val="23"/>
        </w:rPr>
        <w:t>. The CAPER presents the County</w:t>
      </w:r>
      <w:r>
        <w:rPr>
          <w:rFonts w:asciiTheme="minorHAnsi" w:hAnsiTheme="minorHAnsi"/>
          <w:sz w:val="23"/>
          <w:szCs w:val="23"/>
        </w:rPr>
        <w:t>'</w:t>
      </w:r>
      <w:r w:rsidR="002E2DD7" w:rsidRPr="00843AA2">
        <w:rPr>
          <w:rFonts w:asciiTheme="minorHAnsi" w:hAnsiTheme="minorHAnsi"/>
          <w:sz w:val="23"/>
          <w:szCs w:val="23"/>
        </w:rPr>
        <w:t xml:space="preserve">s progress in carrying out projects and activities </w:t>
      </w:r>
      <w:r>
        <w:rPr>
          <w:rFonts w:asciiTheme="minorHAnsi" w:hAnsiTheme="minorHAnsi"/>
          <w:sz w:val="23"/>
          <w:szCs w:val="23"/>
        </w:rPr>
        <w:t>under</w:t>
      </w:r>
      <w:r w:rsidR="002E2DD7" w:rsidRPr="00843AA2">
        <w:rPr>
          <w:rFonts w:asciiTheme="minorHAnsi" w:hAnsiTheme="minorHAnsi"/>
          <w:sz w:val="23"/>
          <w:szCs w:val="23"/>
        </w:rPr>
        <w:t xml:space="preserve"> the Program Year (PY) 2</w:t>
      </w:r>
      <w:r w:rsidR="002E2DD7">
        <w:rPr>
          <w:rFonts w:asciiTheme="minorHAnsi" w:hAnsiTheme="minorHAnsi"/>
          <w:sz w:val="23"/>
          <w:szCs w:val="23"/>
        </w:rPr>
        <w:t>020</w:t>
      </w:r>
      <w:r w:rsidR="002E2DD7" w:rsidRPr="00843AA2">
        <w:rPr>
          <w:rFonts w:asciiTheme="minorHAnsi" w:hAnsiTheme="minorHAnsi"/>
          <w:sz w:val="23"/>
          <w:szCs w:val="23"/>
        </w:rPr>
        <w:t xml:space="preserve"> Annual Action Plan for the Community Development Block Grant (CDBG) and HOME Investment Partnerships (HOME) funds received from the United States Department of Housing and Urban Development (HUD) to principally benefit low-to-moderate-income individuals in the City. </w:t>
      </w:r>
    </w:p>
    <w:p w14:paraId="66CD36B0" w14:textId="3324F5B8" w:rsidR="002E2DD7" w:rsidRPr="00843AA2" w:rsidRDefault="002E2DD7" w:rsidP="00D07211">
      <w:pPr>
        <w:pStyle w:val="Default"/>
        <w:spacing w:after="200"/>
        <w:jc w:val="both"/>
        <w:rPr>
          <w:rFonts w:asciiTheme="minorHAnsi" w:hAnsiTheme="minorHAnsi"/>
          <w:sz w:val="23"/>
          <w:szCs w:val="23"/>
        </w:rPr>
      </w:pPr>
      <w:r w:rsidRPr="00843AA2">
        <w:rPr>
          <w:rFonts w:asciiTheme="minorHAnsi" w:hAnsiTheme="minorHAnsi"/>
          <w:sz w:val="23"/>
          <w:szCs w:val="23"/>
        </w:rPr>
        <w:t>The 20</w:t>
      </w:r>
      <w:r>
        <w:rPr>
          <w:rFonts w:asciiTheme="minorHAnsi" w:hAnsiTheme="minorHAnsi"/>
          <w:sz w:val="23"/>
          <w:szCs w:val="23"/>
        </w:rPr>
        <w:t>20</w:t>
      </w:r>
      <w:r w:rsidRPr="00843AA2">
        <w:rPr>
          <w:rFonts w:asciiTheme="minorHAnsi" w:hAnsiTheme="minorHAnsi"/>
          <w:sz w:val="23"/>
          <w:szCs w:val="23"/>
        </w:rPr>
        <w:t xml:space="preserve"> CAPER describes and evaluates how the City invested formula funds from HUD to meet affordable housing and community development needs. This annual report also provides a general assessment of the City</w:t>
      </w:r>
      <w:r w:rsidR="00D07211">
        <w:rPr>
          <w:rFonts w:asciiTheme="minorHAnsi" w:hAnsiTheme="minorHAnsi"/>
          <w:sz w:val="23"/>
          <w:szCs w:val="23"/>
        </w:rPr>
        <w:t>'</w:t>
      </w:r>
      <w:r w:rsidRPr="00843AA2">
        <w:rPr>
          <w:rFonts w:asciiTheme="minorHAnsi" w:hAnsiTheme="minorHAnsi"/>
          <w:sz w:val="23"/>
          <w:szCs w:val="23"/>
        </w:rPr>
        <w:t>s progress in addressing the priorities and objectives contained in its Five-Year 2018-2022 Consolidated Plan (Con Plan). The 20</w:t>
      </w:r>
      <w:r w:rsidR="00741487">
        <w:rPr>
          <w:rFonts w:asciiTheme="minorHAnsi" w:hAnsiTheme="minorHAnsi"/>
          <w:sz w:val="23"/>
          <w:szCs w:val="23"/>
        </w:rPr>
        <w:t>20</w:t>
      </w:r>
      <w:r w:rsidRPr="00843AA2">
        <w:rPr>
          <w:rFonts w:asciiTheme="minorHAnsi" w:hAnsiTheme="minorHAnsi"/>
          <w:sz w:val="23"/>
          <w:szCs w:val="23"/>
        </w:rPr>
        <w:t xml:space="preserve"> CAPER and other pertinent documents may be accessed through the City</w:t>
      </w:r>
      <w:r w:rsidR="00D07211">
        <w:rPr>
          <w:rFonts w:asciiTheme="minorHAnsi" w:hAnsiTheme="minorHAnsi"/>
          <w:sz w:val="23"/>
          <w:szCs w:val="23"/>
        </w:rPr>
        <w:t>'</w:t>
      </w:r>
      <w:r w:rsidRPr="00843AA2">
        <w:rPr>
          <w:rFonts w:asciiTheme="minorHAnsi" w:hAnsiTheme="minorHAnsi"/>
          <w:sz w:val="23"/>
          <w:szCs w:val="23"/>
        </w:rPr>
        <w:t xml:space="preserve">s website at </w:t>
      </w:r>
      <w:hyperlink r:id="rId9" w:history="1">
        <w:r w:rsidRPr="00843AA2">
          <w:rPr>
            <w:rStyle w:val="Hyperlink"/>
            <w:rFonts w:asciiTheme="minorHAnsi" w:hAnsiTheme="minorHAnsi" w:cs="Calibri"/>
            <w:sz w:val="23"/>
            <w:szCs w:val="23"/>
          </w:rPr>
          <w:t>http://www.annistonal.gov/pages/?pageID=56</w:t>
        </w:r>
      </w:hyperlink>
      <w:r w:rsidRPr="00843AA2">
        <w:rPr>
          <w:rFonts w:asciiTheme="minorHAnsi" w:hAnsiTheme="minorHAnsi"/>
          <w:sz w:val="23"/>
          <w:szCs w:val="23"/>
        </w:rPr>
        <w:t xml:space="preserve">. </w:t>
      </w:r>
    </w:p>
    <w:p w14:paraId="4E4DAE69" w14:textId="60A31130" w:rsidR="002E2DD7" w:rsidRPr="00843AA2" w:rsidRDefault="002E2DD7" w:rsidP="00D07211">
      <w:pPr>
        <w:pStyle w:val="Default"/>
        <w:spacing w:after="200"/>
        <w:jc w:val="both"/>
        <w:rPr>
          <w:rFonts w:asciiTheme="minorHAnsi" w:hAnsiTheme="minorHAnsi"/>
          <w:sz w:val="23"/>
          <w:szCs w:val="23"/>
        </w:rPr>
      </w:pPr>
      <w:r w:rsidRPr="00843AA2">
        <w:rPr>
          <w:rFonts w:asciiTheme="minorHAnsi" w:hAnsiTheme="minorHAnsi"/>
          <w:sz w:val="23"/>
          <w:szCs w:val="23"/>
        </w:rPr>
        <w:t>The City of Anniston continues to make progress with CDBG and HOME funds by increasing affordable housing assistance for low and moderate</w:t>
      </w:r>
      <w:r>
        <w:rPr>
          <w:rFonts w:asciiTheme="minorHAnsi" w:hAnsiTheme="minorHAnsi"/>
          <w:sz w:val="23"/>
          <w:szCs w:val="23"/>
        </w:rPr>
        <w:t>-</w:t>
      </w:r>
      <w:r w:rsidRPr="00843AA2">
        <w:rPr>
          <w:rFonts w:asciiTheme="minorHAnsi" w:hAnsiTheme="minorHAnsi"/>
          <w:sz w:val="23"/>
          <w:szCs w:val="23"/>
        </w:rPr>
        <w:t>income persons and allocating CDBG to local nonprofit organizations to provide essential social services for the homeless, LMI persons, and non-homeless special needs population and HOME funds for sust</w:t>
      </w:r>
      <w:r>
        <w:rPr>
          <w:rFonts w:asciiTheme="minorHAnsi" w:hAnsiTheme="minorHAnsi"/>
          <w:sz w:val="23"/>
          <w:szCs w:val="23"/>
        </w:rPr>
        <w:t>ain</w:t>
      </w:r>
      <w:r w:rsidRPr="00843AA2">
        <w:rPr>
          <w:rFonts w:asciiTheme="minorHAnsi" w:hAnsiTheme="minorHAnsi"/>
          <w:sz w:val="23"/>
          <w:szCs w:val="23"/>
        </w:rPr>
        <w:t>ability of affordable rental housing. The City of Anniston identified the following goals during PY20</w:t>
      </w:r>
      <w:r>
        <w:rPr>
          <w:rFonts w:asciiTheme="minorHAnsi" w:hAnsiTheme="minorHAnsi"/>
          <w:sz w:val="23"/>
          <w:szCs w:val="23"/>
        </w:rPr>
        <w:t>20</w:t>
      </w:r>
      <w:r w:rsidRPr="00843AA2">
        <w:rPr>
          <w:rFonts w:asciiTheme="minorHAnsi" w:hAnsiTheme="minorHAnsi"/>
          <w:sz w:val="23"/>
          <w:szCs w:val="23"/>
        </w:rPr>
        <w:t xml:space="preserve">: </w:t>
      </w:r>
    </w:p>
    <w:p w14:paraId="5A850471" w14:textId="77777777" w:rsidR="002E2DD7" w:rsidRPr="00843AA2" w:rsidRDefault="002E2DD7" w:rsidP="00D07211">
      <w:pPr>
        <w:pStyle w:val="Default"/>
        <w:numPr>
          <w:ilvl w:val="0"/>
          <w:numId w:val="17"/>
        </w:numPr>
        <w:spacing w:after="200"/>
        <w:rPr>
          <w:rFonts w:asciiTheme="minorHAnsi" w:hAnsiTheme="minorHAnsi"/>
          <w:sz w:val="23"/>
          <w:szCs w:val="23"/>
        </w:rPr>
      </w:pPr>
      <w:r w:rsidRPr="00843AA2">
        <w:rPr>
          <w:rFonts w:asciiTheme="minorHAnsi" w:hAnsiTheme="minorHAnsi"/>
          <w:sz w:val="23"/>
          <w:szCs w:val="23"/>
        </w:rPr>
        <w:t xml:space="preserve">Provide decent and affordable housing and supportive services for low and moderate-income families </w:t>
      </w:r>
    </w:p>
    <w:p w14:paraId="3C083865" w14:textId="77777777" w:rsidR="002E2DD7" w:rsidRPr="00843AA2" w:rsidRDefault="002E2DD7" w:rsidP="00D07211">
      <w:pPr>
        <w:pStyle w:val="Default"/>
        <w:numPr>
          <w:ilvl w:val="0"/>
          <w:numId w:val="17"/>
        </w:numPr>
        <w:spacing w:after="200"/>
        <w:rPr>
          <w:rFonts w:asciiTheme="minorHAnsi" w:hAnsiTheme="minorHAnsi"/>
          <w:sz w:val="23"/>
          <w:szCs w:val="23"/>
        </w:rPr>
      </w:pPr>
      <w:r w:rsidRPr="00843AA2">
        <w:rPr>
          <w:rFonts w:asciiTheme="minorHAnsi" w:hAnsiTheme="minorHAnsi"/>
          <w:sz w:val="23"/>
          <w:szCs w:val="23"/>
        </w:rPr>
        <w:t xml:space="preserve">Improve public facilities and/or infrastructure </w:t>
      </w:r>
    </w:p>
    <w:p w14:paraId="22685043" w14:textId="77777777" w:rsidR="002E2DD7" w:rsidRPr="00843AA2" w:rsidRDefault="002E2DD7" w:rsidP="00D07211">
      <w:pPr>
        <w:pStyle w:val="Default"/>
        <w:numPr>
          <w:ilvl w:val="0"/>
          <w:numId w:val="17"/>
        </w:numPr>
        <w:spacing w:after="200"/>
        <w:rPr>
          <w:rFonts w:asciiTheme="minorHAnsi" w:hAnsiTheme="minorHAnsi"/>
          <w:sz w:val="23"/>
          <w:szCs w:val="23"/>
        </w:rPr>
      </w:pPr>
      <w:r w:rsidRPr="00843AA2">
        <w:rPr>
          <w:rFonts w:asciiTheme="minorHAnsi" w:hAnsiTheme="minorHAnsi"/>
          <w:sz w:val="23"/>
          <w:szCs w:val="23"/>
        </w:rPr>
        <w:t xml:space="preserve">Eliminate slums and blight </w:t>
      </w:r>
    </w:p>
    <w:p w14:paraId="0BF1BFE4" w14:textId="12A6E41D" w:rsidR="00D02F5F" w:rsidRPr="00D02F5F" w:rsidRDefault="002E2DD7" w:rsidP="00D07211">
      <w:pPr>
        <w:spacing w:line="240" w:lineRule="auto"/>
        <w:jc w:val="both"/>
        <w:rPr>
          <w:rFonts w:asciiTheme="minorHAnsi" w:eastAsia="Times New Roman" w:hAnsiTheme="minorHAnsi" w:cstheme="minorHAnsi"/>
          <w:color w:val="FF0000"/>
          <w:sz w:val="23"/>
          <w:szCs w:val="23"/>
        </w:rPr>
      </w:pPr>
      <w:r w:rsidRPr="00D02F5F">
        <w:rPr>
          <w:rFonts w:asciiTheme="minorHAnsi" w:hAnsiTheme="minorHAnsi" w:cstheme="minorHAnsi"/>
          <w:sz w:val="23"/>
          <w:szCs w:val="23"/>
        </w:rPr>
        <w:t xml:space="preserve">The City of Anniston received </w:t>
      </w:r>
      <w:r w:rsidRPr="00D02F5F">
        <w:rPr>
          <w:rFonts w:asciiTheme="minorHAnsi" w:hAnsiTheme="minorHAnsi" w:cstheme="minorHAnsi"/>
          <w:b/>
          <w:bCs/>
          <w:sz w:val="23"/>
          <w:szCs w:val="23"/>
        </w:rPr>
        <w:t xml:space="preserve">$554,171.00 </w:t>
      </w:r>
      <w:r w:rsidRPr="00D02F5F">
        <w:rPr>
          <w:rFonts w:asciiTheme="minorHAnsi" w:hAnsiTheme="minorHAnsi" w:cstheme="minorHAnsi"/>
          <w:sz w:val="23"/>
          <w:szCs w:val="23"/>
        </w:rPr>
        <w:t xml:space="preserve">in CDBG funding and </w:t>
      </w:r>
      <w:r w:rsidRPr="00D02F5F">
        <w:rPr>
          <w:rFonts w:asciiTheme="minorHAnsi" w:hAnsiTheme="minorHAnsi" w:cstheme="minorHAnsi"/>
          <w:b/>
          <w:bCs/>
          <w:sz w:val="23"/>
          <w:szCs w:val="23"/>
        </w:rPr>
        <w:t xml:space="preserve">$404,132.00 </w:t>
      </w:r>
      <w:r w:rsidRPr="00D02F5F">
        <w:rPr>
          <w:rFonts w:asciiTheme="minorHAnsi" w:hAnsiTheme="minorHAnsi" w:cstheme="minorHAnsi"/>
          <w:sz w:val="23"/>
          <w:szCs w:val="23"/>
        </w:rPr>
        <w:t>in HOME funding. The City expended a total of</w:t>
      </w:r>
      <w:r w:rsidRPr="00D02F5F">
        <w:rPr>
          <w:rFonts w:asciiTheme="minorHAnsi" w:hAnsiTheme="minorHAnsi" w:cstheme="minorHAnsi"/>
          <w:b/>
          <w:bCs/>
          <w:sz w:val="23"/>
          <w:szCs w:val="23"/>
        </w:rPr>
        <w:t xml:space="preserve"> $4</w:t>
      </w:r>
      <w:r w:rsidR="006374CD" w:rsidRPr="00D02F5F">
        <w:rPr>
          <w:rFonts w:asciiTheme="minorHAnsi" w:hAnsiTheme="minorHAnsi" w:cstheme="minorHAnsi"/>
          <w:b/>
          <w:bCs/>
          <w:sz w:val="23"/>
          <w:szCs w:val="23"/>
        </w:rPr>
        <w:t>69,742.96</w:t>
      </w:r>
      <w:r w:rsidRPr="00D02F5F">
        <w:rPr>
          <w:rFonts w:asciiTheme="minorHAnsi" w:hAnsiTheme="minorHAnsi" w:cstheme="minorHAnsi"/>
          <w:b/>
          <w:bCs/>
          <w:sz w:val="23"/>
          <w:szCs w:val="23"/>
        </w:rPr>
        <w:t xml:space="preserve"> </w:t>
      </w:r>
      <w:r w:rsidRPr="00D02F5F">
        <w:rPr>
          <w:rFonts w:asciiTheme="minorHAnsi" w:hAnsiTheme="minorHAnsi" w:cstheme="minorHAnsi"/>
          <w:sz w:val="23"/>
          <w:szCs w:val="23"/>
        </w:rPr>
        <w:t>for the following CDBG eligible activities: single-family rehabilitation ($</w:t>
      </w:r>
      <w:r w:rsidR="00741487" w:rsidRPr="00D02F5F">
        <w:rPr>
          <w:rFonts w:asciiTheme="minorHAnsi" w:hAnsiTheme="minorHAnsi" w:cstheme="minorHAnsi"/>
          <w:sz w:val="23"/>
          <w:szCs w:val="23"/>
        </w:rPr>
        <w:t>78,485.11</w:t>
      </w:r>
      <w:r w:rsidRPr="00D02F5F">
        <w:rPr>
          <w:rFonts w:asciiTheme="minorHAnsi" w:hAnsiTheme="minorHAnsi" w:cstheme="minorHAnsi"/>
          <w:sz w:val="23"/>
          <w:szCs w:val="23"/>
        </w:rPr>
        <w:t>), facility improvements ($</w:t>
      </w:r>
      <w:r w:rsidR="00741487" w:rsidRPr="00D02F5F">
        <w:rPr>
          <w:rFonts w:asciiTheme="minorHAnsi" w:hAnsiTheme="minorHAnsi" w:cstheme="minorHAnsi"/>
          <w:sz w:val="23"/>
          <w:szCs w:val="23"/>
        </w:rPr>
        <w:t>79,100.16</w:t>
      </w:r>
      <w:r w:rsidRPr="00D02F5F">
        <w:rPr>
          <w:rFonts w:asciiTheme="minorHAnsi" w:hAnsiTheme="minorHAnsi" w:cstheme="minorHAnsi"/>
          <w:sz w:val="23"/>
          <w:szCs w:val="23"/>
        </w:rPr>
        <w:t>), public service activities ($</w:t>
      </w:r>
      <w:r w:rsidR="00741487" w:rsidRPr="00D02F5F">
        <w:rPr>
          <w:rFonts w:asciiTheme="minorHAnsi" w:hAnsiTheme="minorHAnsi" w:cstheme="minorHAnsi"/>
          <w:sz w:val="23"/>
          <w:szCs w:val="23"/>
        </w:rPr>
        <w:t>112,157.69</w:t>
      </w:r>
      <w:r w:rsidRPr="00D02F5F">
        <w:rPr>
          <w:rFonts w:asciiTheme="minorHAnsi" w:hAnsiTheme="minorHAnsi" w:cstheme="minorHAnsi"/>
          <w:sz w:val="23"/>
          <w:szCs w:val="23"/>
        </w:rPr>
        <w:t>)</w:t>
      </w:r>
      <w:r w:rsidR="000511A8">
        <w:rPr>
          <w:rFonts w:asciiTheme="minorHAnsi" w:hAnsiTheme="minorHAnsi" w:cstheme="minorHAnsi"/>
          <w:sz w:val="23"/>
          <w:szCs w:val="23"/>
        </w:rPr>
        <w:t xml:space="preserve">, clearance and demolition </w:t>
      </w:r>
      <w:r w:rsidR="00AF54EB" w:rsidRPr="00D02F5F">
        <w:rPr>
          <w:rFonts w:asciiTheme="minorHAnsi" w:hAnsiTheme="minorHAnsi" w:cstheme="minorHAnsi"/>
          <w:sz w:val="23"/>
          <w:szCs w:val="23"/>
        </w:rPr>
        <w:t>activities in low mod areas ($200,000)</w:t>
      </w:r>
      <w:r w:rsidRPr="00D02F5F">
        <w:rPr>
          <w:rFonts w:asciiTheme="minorHAnsi" w:hAnsiTheme="minorHAnsi" w:cstheme="minorHAnsi"/>
          <w:sz w:val="23"/>
          <w:szCs w:val="23"/>
        </w:rPr>
        <w:t xml:space="preserve"> and general administration ($</w:t>
      </w:r>
      <w:r w:rsidR="00AF54EB" w:rsidRPr="00D02F5F">
        <w:rPr>
          <w:rFonts w:asciiTheme="minorHAnsi" w:hAnsiTheme="minorHAnsi" w:cstheme="minorHAnsi"/>
          <w:sz w:val="23"/>
          <w:szCs w:val="23"/>
        </w:rPr>
        <w:t>100,021.04</w:t>
      </w:r>
      <w:r w:rsidRPr="00D02F5F">
        <w:rPr>
          <w:rFonts w:asciiTheme="minorHAnsi" w:hAnsiTheme="minorHAnsi" w:cstheme="minorHAnsi"/>
          <w:sz w:val="23"/>
          <w:szCs w:val="23"/>
        </w:rPr>
        <w:t>).</w:t>
      </w:r>
      <w:r w:rsidR="00AF54EB" w:rsidRPr="00D02F5F">
        <w:rPr>
          <w:rFonts w:asciiTheme="minorHAnsi" w:hAnsiTheme="minorHAnsi" w:cstheme="minorHAnsi"/>
          <w:sz w:val="23"/>
          <w:szCs w:val="23"/>
        </w:rPr>
        <w:t xml:space="preserve"> </w:t>
      </w:r>
      <w:r w:rsidR="00AF54EB" w:rsidRPr="00D02F5F">
        <w:rPr>
          <w:rFonts w:asciiTheme="minorHAnsi" w:hAnsiTheme="minorHAnsi" w:cstheme="minorHAnsi"/>
          <w:color w:val="000000" w:themeColor="text1"/>
          <w:sz w:val="23"/>
          <w:szCs w:val="23"/>
        </w:rPr>
        <w:t xml:space="preserve">The City expended a total of </w:t>
      </w:r>
      <w:r w:rsidR="00AF54EB" w:rsidRPr="00D02F5F">
        <w:rPr>
          <w:rFonts w:asciiTheme="minorHAnsi" w:hAnsiTheme="minorHAnsi" w:cstheme="minorHAnsi"/>
          <w:b/>
          <w:bCs/>
          <w:color w:val="000000" w:themeColor="text1"/>
          <w:sz w:val="23"/>
          <w:szCs w:val="23"/>
        </w:rPr>
        <w:t>$</w:t>
      </w:r>
      <w:r w:rsidR="00AF54EB" w:rsidRPr="00D02F5F">
        <w:rPr>
          <w:rFonts w:asciiTheme="minorHAnsi" w:eastAsia="Times New Roman" w:hAnsiTheme="minorHAnsi" w:cstheme="minorHAnsi"/>
          <w:b/>
          <w:bCs/>
          <w:color w:val="000000" w:themeColor="text1"/>
          <w:sz w:val="23"/>
          <w:szCs w:val="23"/>
        </w:rPr>
        <w:t xml:space="preserve">749,169.44 </w:t>
      </w:r>
      <w:r w:rsidR="00AF54EB" w:rsidRPr="00D02F5F">
        <w:rPr>
          <w:rFonts w:asciiTheme="minorHAnsi" w:eastAsia="Times New Roman" w:hAnsiTheme="minorHAnsi" w:cstheme="minorHAnsi"/>
          <w:color w:val="000000" w:themeColor="text1"/>
          <w:sz w:val="23"/>
          <w:szCs w:val="23"/>
        </w:rPr>
        <w:t>in HOME funds fo</w:t>
      </w:r>
      <w:r w:rsidR="00D02F5F" w:rsidRPr="00D02F5F">
        <w:rPr>
          <w:rFonts w:asciiTheme="minorHAnsi" w:eastAsia="Times New Roman" w:hAnsiTheme="minorHAnsi" w:cstheme="minorHAnsi"/>
          <w:color w:val="000000" w:themeColor="text1"/>
          <w:sz w:val="23"/>
          <w:szCs w:val="23"/>
        </w:rPr>
        <w:t xml:space="preserve">r the following eligible activities: Tenant-Based Rental Assistance ($17,357.46), New construction of affordable </w:t>
      </w:r>
      <w:r w:rsidR="00DF6E17">
        <w:rPr>
          <w:rFonts w:asciiTheme="minorHAnsi" w:eastAsia="Times New Roman" w:hAnsiTheme="minorHAnsi" w:cstheme="minorHAnsi"/>
          <w:color w:val="000000" w:themeColor="text1"/>
          <w:sz w:val="23"/>
          <w:szCs w:val="23"/>
        </w:rPr>
        <w:t xml:space="preserve">rental </w:t>
      </w:r>
      <w:r w:rsidR="00D02F5F" w:rsidRPr="00D02F5F">
        <w:rPr>
          <w:rFonts w:asciiTheme="minorHAnsi" w:eastAsia="Times New Roman" w:hAnsiTheme="minorHAnsi" w:cstheme="minorHAnsi"/>
          <w:color w:val="000000" w:themeColor="text1"/>
          <w:sz w:val="23"/>
          <w:szCs w:val="23"/>
        </w:rPr>
        <w:t>housing: ($6</w:t>
      </w:r>
      <w:r w:rsidR="000511A8">
        <w:rPr>
          <w:rFonts w:asciiTheme="minorHAnsi" w:eastAsia="Times New Roman" w:hAnsiTheme="minorHAnsi" w:cstheme="minorHAnsi"/>
          <w:color w:val="000000" w:themeColor="text1"/>
          <w:sz w:val="23"/>
          <w:szCs w:val="23"/>
        </w:rPr>
        <w:t xml:space="preserve">58,592.50); Rental Rehabilitation </w:t>
      </w:r>
      <w:r w:rsidR="00D02F5F" w:rsidRPr="00D02F5F">
        <w:rPr>
          <w:rFonts w:asciiTheme="minorHAnsi" w:eastAsia="Times New Roman" w:hAnsiTheme="minorHAnsi" w:cstheme="minorHAnsi"/>
          <w:color w:val="000000" w:themeColor="text1"/>
          <w:sz w:val="23"/>
          <w:szCs w:val="23"/>
        </w:rPr>
        <w:t>($27,575.00), and planning and administration ($45,644.48).</w:t>
      </w:r>
    </w:p>
    <w:p w14:paraId="4CB415B2" w14:textId="77777777" w:rsidR="00DB065E" w:rsidRPr="00DB065E" w:rsidRDefault="00DB065E" w:rsidP="00D07211">
      <w:pPr>
        <w:tabs>
          <w:tab w:val="left" w:pos="2680"/>
        </w:tabs>
        <w:spacing w:line="240" w:lineRule="auto"/>
        <w:rPr>
          <w:rFonts w:asciiTheme="minorHAnsi" w:hAnsiTheme="minorHAnsi" w:cstheme="minorHAnsi"/>
          <w:b/>
          <w:sz w:val="23"/>
          <w:szCs w:val="23"/>
        </w:rPr>
      </w:pPr>
      <w:r w:rsidRPr="00DB065E">
        <w:rPr>
          <w:rFonts w:asciiTheme="minorHAnsi" w:hAnsiTheme="minorHAnsi" w:cstheme="minorHAnsi"/>
          <w:b/>
          <w:sz w:val="23"/>
          <w:szCs w:val="23"/>
        </w:rPr>
        <w:t>City of Anniston Public Service Activities related to COVID</w:t>
      </w:r>
    </w:p>
    <w:p w14:paraId="2FBB00B9" w14:textId="099C2FDF" w:rsidR="00DB065E" w:rsidRPr="00DB065E" w:rsidRDefault="00DB065E" w:rsidP="00D07211">
      <w:pPr>
        <w:spacing w:line="240" w:lineRule="auto"/>
        <w:jc w:val="both"/>
        <w:rPr>
          <w:rFonts w:asciiTheme="minorHAnsi" w:eastAsia="Times New Roman" w:hAnsiTheme="minorHAnsi" w:cstheme="minorHAnsi"/>
          <w:color w:val="000000"/>
          <w:sz w:val="23"/>
          <w:szCs w:val="23"/>
        </w:rPr>
      </w:pPr>
      <w:r w:rsidRPr="00DB065E">
        <w:rPr>
          <w:rFonts w:asciiTheme="minorHAnsi" w:eastAsia="Times New Roman" w:hAnsiTheme="minorHAnsi" w:cstheme="minorHAnsi"/>
          <w:color w:val="000000"/>
          <w:sz w:val="23"/>
          <w:szCs w:val="23"/>
        </w:rPr>
        <w:t xml:space="preserve">The City of Anniston expended additional public service funding in </w:t>
      </w:r>
      <w:r w:rsidR="00D07211">
        <w:rPr>
          <w:rFonts w:asciiTheme="minorHAnsi" w:eastAsia="Times New Roman" w:hAnsiTheme="minorHAnsi" w:cstheme="minorHAnsi"/>
          <w:color w:val="000000"/>
          <w:sz w:val="23"/>
          <w:szCs w:val="23"/>
        </w:rPr>
        <w:t>COVID-related</w:t>
      </w:r>
      <w:r w:rsidRPr="00DB065E">
        <w:rPr>
          <w:rFonts w:asciiTheme="minorHAnsi" w:eastAsia="Times New Roman" w:hAnsiTheme="minorHAnsi" w:cstheme="minorHAnsi"/>
          <w:color w:val="000000"/>
          <w:sz w:val="23"/>
          <w:szCs w:val="23"/>
        </w:rPr>
        <w:t xml:space="preserve"> rental assistance activities and food delivery. Additionally, the 15% Public Service cap has been waived by HUD.</w:t>
      </w:r>
    </w:p>
    <w:p w14:paraId="0793837C" w14:textId="77777777" w:rsidR="00DB065E" w:rsidRPr="00DB065E" w:rsidRDefault="00DB065E" w:rsidP="00D07211">
      <w:pPr>
        <w:spacing w:line="240" w:lineRule="auto"/>
        <w:jc w:val="both"/>
        <w:rPr>
          <w:rFonts w:asciiTheme="minorHAnsi" w:eastAsia="Times New Roman" w:hAnsiTheme="minorHAnsi" w:cstheme="minorHAnsi"/>
          <w:color w:val="000000"/>
          <w:sz w:val="23"/>
          <w:szCs w:val="23"/>
        </w:rPr>
      </w:pPr>
      <w:r w:rsidRPr="00DB065E">
        <w:rPr>
          <w:rFonts w:asciiTheme="minorHAnsi" w:eastAsia="Times New Roman" w:hAnsiTheme="minorHAnsi" w:cstheme="minorHAnsi"/>
          <w:color w:val="000000"/>
          <w:sz w:val="23"/>
          <w:szCs w:val="23"/>
        </w:rPr>
        <w:lastRenderedPageBreak/>
        <w:t>Per the Page 42 of the HUD Notice of Program Rules: III.B.5.(f)(iii) Public Services Cap. The CARES Act provides that notwithstanding section 105(a)(8) of the HCD Act (42 U.S.C. 5305(a)(8)), there shall be no per centum limitation for the use of funds for public services activities to prevent, prepare for, and respond to coronavirus. The CARES Act provides this flexibility for all CDBG-CV funds and CDBG funds appropriated in fiscal years 2019 and 2020 to the extent that grantees use these funds to carry out public service activities to prevent, prepare for, and respond to coronavirus. </w:t>
      </w:r>
    </w:p>
    <w:p w14:paraId="2FFC3D45" w14:textId="77777777" w:rsidR="00DB065E" w:rsidRPr="00D07211" w:rsidRDefault="00DB065E" w:rsidP="00D07211">
      <w:pPr>
        <w:pStyle w:val="ListParagraph"/>
        <w:numPr>
          <w:ilvl w:val="0"/>
          <w:numId w:val="21"/>
        </w:numPr>
        <w:tabs>
          <w:tab w:val="left" w:pos="5173"/>
        </w:tabs>
        <w:spacing w:after="0" w:line="240" w:lineRule="auto"/>
        <w:jc w:val="both"/>
        <w:rPr>
          <w:rFonts w:eastAsia="Times New Roman" w:cstheme="minorHAnsi"/>
          <w:b/>
          <w:color w:val="000000"/>
          <w:sz w:val="23"/>
          <w:szCs w:val="23"/>
        </w:rPr>
      </w:pPr>
      <w:r w:rsidRPr="00D07211">
        <w:rPr>
          <w:rFonts w:eastAsia="Times New Roman" w:cstheme="minorHAnsi"/>
          <w:b/>
          <w:color w:val="000000"/>
          <w:sz w:val="23"/>
          <w:szCs w:val="23"/>
        </w:rPr>
        <w:t xml:space="preserve">2020 CDBG Allocation -  $554,099.00 </w:t>
      </w:r>
    </w:p>
    <w:p w14:paraId="11155FC8" w14:textId="77777777" w:rsidR="00D07211" w:rsidRPr="00D07211" w:rsidRDefault="00DB065E" w:rsidP="009C09FD">
      <w:pPr>
        <w:pStyle w:val="ListParagraph"/>
        <w:numPr>
          <w:ilvl w:val="0"/>
          <w:numId w:val="21"/>
        </w:numPr>
        <w:tabs>
          <w:tab w:val="left" w:pos="5173"/>
        </w:tabs>
        <w:spacing w:after="0" w:line="240" w:lineRule="auto"/>
        <w:jc w:val="both"/>
        <w:rPr>
          <w:rFonts w:eastAsia="Times New Roman" w:cstheme="minorHAnsi"/>
          <w:color w:val="000000"/>
          <w:sz w:val="23"/>
          <w:szCs w:val="23"/>
        </w:rPr>
      </w:pPr>
      <w:r w:rsidRPr="00D07211">
        <w:rPr>
          <w:rFonts w:eastAsia="Times New Roman" w:cstheme="minorHAnsi"/>
          <w:b/>
          <w:color w:val="000000"/>
          <w:sz w:val="23"/>
          <w:szCs w:val="23"/>
        </w:rPr>
        <w:t>15% Public Service Cap -$83,114.85</w:t>
      </w:r>
    </w:p>
    <w:p w14:paraId="4A1F09FE" w14:textId="7E3D4F3A" w:rsidR="00DB065E" w:rsidRPr="00D07211" w:rsidRDefault="00DB065E" w:rsidP="00D07211">
      <w:pPr>
        <w:pStyle w:val="ListParagraph"/>
        <w:tabs>
          <w:tab w:val="left" w:pos="5173"/>
        </w:tabs>
        <w:spacing w:after="0" w:line="240" w:lineRule="auto"/>
        <w:jc w:val="both"/>
        <w:rPr>
          <w:rFonts w:eastAsia="Times New Roman" w:cstheme="minorHAnsi"/>
          <w:color w:val="000000"/>
          <w:sz w:val="23"/>
          <w:szCs w:val="23"/>
        </w:rPr>
      </w:pPr>
      <w:r w:rsidRPr="00D07211">
        <w:rPr>
          <w:rFonts w:eastAsia="Times New Roman" w:cstheme="minorHAnsi"/>
          <w:color w:val="000000"/>
          <w:sz w:val="23"/>
          <w:szCs w:val="23"/>
        </w:rPr>
        <w:t> </w:t>
      </w:r>
      <w:r w:rsidRPr="00D07211">
        <w:rPr>
          <w:rFonts w:eastAsia="Times New Roman" w:cstheme="minorHAnsi"/>
          <w:color w:val="000000"/>
          <w:sz w:val="23"/>
          <w:szCs w:val="23"/>
        </w:rPr>
        <w:tab/>
      </w:r>
    </w:p>
    <w:p w14:paraId="23CF266C" w14:textId="77777777" w:rsidR="00DB065E" w:rsidRPr="00D07211" w:rsidRDefault="00DB065E" w:rsidP="00D07211">
      <w:pPr>
        <w:pStyle w:val="ListParagraph"/>
        <w:numPr>
          <w:ilvl w:val="0"/>
          <w:numId w:val="22"/>
        </w:numPr>
        <w:tabs>
          <w:tab w:val="left" w:pos="5173"/>
        </w:tabs>
        <w:spacing w:line="240" w:lineRule="auto"/>
        <w:jc w:val="both"/>
        <w:rPr>
          <w:rFonts w:eastAsia="Times New Roman" w:cstheme="minorHAnsi"/>
          <w:color w:val="000000"/>
          <w:sz w:val="23"/>
          <w:szCs w:val="23"/>
        </w:rPr>
      </w:pPr>
      <w:r w:rsidRPr="00D07211">
        <w:rPr>
          <w:rFonts w:eastAsia="Times New Roman" w:cstheme="minorHAnsi"/>
          <w:color w:val="000000"/>
          <w:sz w:val="23"/>
          <w:szCs w:val="23"/>
        </w:rPr>
        <w:t xml:space="preserve">2020 Public Service Disbursements -$112,157.69 </w:t>
      </w:r>
    </w:p>
    <w:p w14:paraId="5D01CC35" w14:textId="77777777" w:rsidR="00DB065E" w:rsidRPr="00D07211" w:rsidRDefault="00DB065E" w:rsidP="00D07211">
      <w:pPr>
        <w:pStyle w:val="ListParagraph"/>
        <w:numPr>
          <w:ilvl w:val="0"/>
          <w:numId w:val="22"/>
        </w:numPr>
        <w:tabs>
          <w:tab w:val="left" w:pos="5173"/>
        </w:tabs>
        <w:spacing w:line="240" w:lineRule="auto"/>
        <w:jc w:val="both"/>
        <w:rPr>
          <w:rFonts w:eastAsia="Times New Roman" w:cstheme="minorHAnsi"/>
          <w:sz w:val="23"/>
          <w:szCs w:val="23"/>
        </w:rPr>
      </w:pPr>
      <w:r w:rsidRPr="00D07211">
        <w:rPr>
          <w:rFonts w:eastAsia="Times New Roman" w:cstheme="minorHAnsi"/>
          <w:sz w:val="23"/>
          <w:szCs w:val="23"/>
        </w:rPr>
        <w:t>2020 Expenses related to COVID - $31.490.59</w:t>
      </w:r>
    </w:p>
    <w:p w14:paraId="185A77A6" w14:textId="77777777" w:rsidR="00DB065E" w:rsidRPr="00C51699" w:rsidRDefault="00DB065E" w:rsidP="00DB065E">
      <w:pPr>
        <w:tabs>
          <w:tab w:val="left" w:pos="5173"/>
        </w:tabs>
        <w:spacing w:after="0" w:line="240" w:lineRule="auto"/>
        <w:jc w:val="both"/>
        <w:rPr>
          <w:rFonts w:ascii="Arial" w:eastAsia="Times New Roman" w:hAnsi="Arial" w:cs="Arial"/>
          <w:color w:val="000000"/>
          <w:sz w:val="24"/>
          <w:szCs w:val="24"/>
        </w:rPr>
      </w:pPr>
      <w:r w:rsidRPr="00C51699">
        <w:rPr>
          <w:noProof/>
        </w:rPr>
        <w:drawing>
          <wp:inline distT="0" distB="0" distL="0" distR="0" wp14:anchorId="7B43BC4C" wp14:editId="709BA492">
            <wp:extent cx="6042660" cy="1478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2660" cy="1478280"/>
                    </a:xfrm>
                    <a:prstGeom prst="rect">
                      <a:avLst/>
                    </a:prstGeom>
                    <a:noFill/>
                    <a:ln>
                      <a:noFill/>
                    </a:ln>
                  </pic:spPr>
                </pic:pic>
              </a:graphicData>
            </a:graphic>
          </wp:inline>
        </w:drawing>
      </w:r>
    </w:p>
    <w:p w14:paraId="61ACD992" w14:textId="77777777" w:rsidR="00DB065E" w:rsidRPr="00D82E60" w:rsidRDefault="00DB065E" w:rsidP="00DB065E">
      <w:pPr>
        <w:jc w:val="center"/>
        <w:rPr>
          <w:b/>
        </w:rPr>
      </w:pPr>
    </w:p>
    <w:p w14:paraId="3F238DB5" w14:textId="77777777" w:rsidR="002E2DD7" w:rsidRPr="00E2768B" w:rsidRDefault="002E2DD7" w:rsidP="002E2DD7">
      <w:pPr>
        <w:keepNext/>
        <w:widowControl w:val="0"/>
        <w:spacing w:after="0" w:line="240" w:lineRule="auto"/>
        <w:rPr>
          <w:b/>
          <w:sz w:val="12"/>
          <w:szCs w:val="12"/>
        </w:rPr>
      </w:pPr>
    </w:p>
    <w:p w14:paraId="52002029" w14:textId="77777777" w:rsidR="00D0416C" w:rsidRDefault="002B09DF" w:rsidP="00CB2046">
      <w:pPr>
        <w:keepNext/>
        <w:widowControl w:val="0"/>
        <w:spacing w:after="0" w:line="240" w:lineRule="auto"/>
        <w:jc w:val="both"/>
        <w:rPr>
          <w:b/>
          <w:sz w:val="24"/>
          <w:szCs w:val="24"/>
        </w:rPr>
      </w:pPr>
      <w:r>
        <w:rPr>
          <w:b/>
          <w:sz w:val="24"/>
          <w:szCs w:val="24"/>
        </w:rPr>
        <w:t>Comparison of the proposed versus actual outcomes for each outcome measure submitted with the consolidated plan and explain, if applicable, why progress was not made toward meeting goals and objectives.  91.520(g)</w:t>
      </w:r>
    </w:p>
    <w:p w14:paraId="69DEA2B4" w14:textId="77777777" w:rsidR="00E2768B" w:rsidRPr="00E2768B" w:rsidRDefault="00E2768B" w:rsidP="00CB2046">
      <w:pPr>
        <w:keepNext/>
        <w:widowControl w:val="0"/>
        <w:spacing w:after="0" w:line="240" w:lineRule="auto"/>
        <w:jc w:val="both"/>
        <w:rPr>
          <w:b/>
          <w:sz w:val="14"/>
          <w:szCs w:val="14"/>
        </w:rPr>
      </w:pPr>
    </w:p>
    <w:p w14:paraId="1D14BD1E" w14:textId="34DAA336" w:rsidR="00D0416C" w:rsidRDefault="002B09DF" w:rsidP="00CB2046">
      <w:pPr>
        <w:keepNext/>
        <w:widowControl w:val="0"/>
        <w:spacing w:after="0" w:line="240" w:lineRule="auto"/>
        <w:jc w:val="both"/>
        <w:rPr>
          <w:szCs w:val="24"/>
        </w:rPr>
      </w:pPr>
      <w:r>
        <w:t>Categories, priority levels, funding sources and amounts, outcomes/objectives, goal outcome indicators, units of measure, targets, actual outcomes/outputs, and percentage completed for each of the grantee</w:t>
      </w:r>
      <w:r w:rsidR="00D07211">
        <w:t>'</w:t>
      </w:r>
      <w:r>
        <w:t>s program year goals.</w:t>
      </w:r>
    </w:p>
    <w:p w14:paraId="3FA7E6B0" w14:textId="77777777" w:rsidR="00E2768B" w:rsidRDefault="00E2768B">
      <w:pPr>
        <w:spacing w:after="0" w:line="240" w:lineRule="auto"/>
        <w:rPr>
          <w:b/>
          <w:sz w:val="24"/>
          <w:szCs w:val="24"/>
        </w:rPr>
      </w:pPr>
      <w:r>
        <w:rPr>
          <w:b/>
          <w:sz w:val="24"/>
          <w:szCs w:val="24"/>
        </w:rPr>
        <w:br w:type="page"/>
      </w:r>
    </w:p>
    <w:p w14:paraId="2749D005" w14:textId="77777777" w:rsidR="00E2768B" w:rsidRDefault="00E2768B" w:rsidP="00CB2046">
      <w:pPr>
        <w:keepNext/>
        <w:widowControl w:val="0"/>
        <w:spacing w:after="0" w:line="240" w:lineRule="auto"/>
        <w:jc w:val="both"/>
        <w:rPr>
          <w:b/>
        </w:rPr>
        <w:sectPr w:rsidR="00E2768B" w:rsidSect="002E2DD7">
          <w:footerReference w:type="default" r:id="rId11"/>
          <w:type w:val="continuous"/>
          <w:pgSz w:w="12240" w:h="15840"/>
          <w:pgMar w:top="1440" w:right="1440" w:bottom="1440" w:left="1440" w:header="720" w:footer="720" w:gutter="0"/>
          <w:cols w:space="720"/>
          <w:docGrid w:linePitch="360"/>
        </w:sectPr>
      </w:pPr>
    </w:p>
    <w:p w14:paraId="55BE20BD" w14:textId="77777777" w:rsidR="00E2768B" w:rsidRDefault="00DB065E" w:rsidP="00CB2046">
      <w:pPr>
        <w:pStyle w:val="Caption"/>
        <w:jc w:val="both"/>
        <w:rPr>
          <w:rFonts w:asciiTheme="minorHAnsi" w:hAnsiTheme="minorHAnsi"/>
        </w:rPr>
      </w:pPr>
      <w:r>
        <w:rPr>
          <w:noProof/>
        </w:rPr>
        <w:lastRenderedPageBreak/>
        <w:drawing>
          <wp:inline distT="0" distB="0" distL="0" distR="0" wp14:anchorId="1E0563B6" wp14:editId="4FCEFB88">
            <wp:extent cx="8143875" cy="29584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64" r="578"/>
                    <a:stretch/>
                  </pic:blipFill>
                  <pic:spPr bwMode="auto">
                    <a:xfrm>
                      <a:off x="0" y="0"/>
                      <a:ext cx="8143875" cy="2958465"/>
                    </a:xfrm>
                    <a:prstGeom prst="rect">
                      <a:avLst/>
                    </a:prstGeom>
                    <a:ln>
                      <a:noFill/>
                    </a:ln>
                    <a:extLst>
                      <a:ext uri="{53640926-AAD7-44D8-BBD7-CCE9431645EC}">
                        <a14:shadowObscured xmlns:a14="http://schemas.microsoft.com/office/drawing/2010/main"/>
                      </a:ext>
                    </a:extLst>
                  </pic:spPr>
                </pic:pic>
              </a:graphicData>
            </a:graphic>
          </wp:inline>
        </w:drawing>
      </w:r>
    </w:p>
    <w:p w14:paraId="79FAD317" w14:textId="77777777" w:rsidR="004043AE" w:rsidRPr="004043AE" w:rsidRDefault="004043AE" w:rsidP="004043AE">
      <w:pPr>
        <w:sectPr w:rsidR="004043AE" w:rsidRPr="004043AE" w:rsidSect="00E2768B">
          <w:type w:val="continuous"/>
          <w:pgSz w:w="15840" w:h="12240" w:orient="landscape"/>
          <w:pgMar w:top="1440" w:right="1440" w:bottom="1440" w:left="1440" w:header="720" w:footer="720" w:gutter="0"/>
          <w:cols w:space="720"/>
          <w:docGrid w:linePitch="360"/>
        </w:sectPr>
      </w:pPr>
      <w:r>
        <w:rPr>
          <w:noProof/>
        </w:rPr>
        <w:lastRenderedPageBreak/>
        <w:drawing>
          <wp:inline distT="0" distB="0" distL="0" distR="0" wp14:anchorId="52947602" wp14:editId="24801042">
            <wp:extent cx="8162925" cy="385635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10"/>
                    <a:stretch/>
                  </pic:blipFill>
                  <pic:spPr bwMode="auto">
                    <a:xfrm>
                      <a:off x="0" y="0"/>
                      <a:ext cx="8162925" cy="3856355"/>
                    </a:xfrm>
                    <a:prstGeom prst="rect">
                      <a:avLst/>
                    </a:prstGeom>
                    <a:ln>
                      <a:noFill/>
                    </a:ln>
                    <a:extLst>
                      <a:ext uri="{53640926-AAD7-44D8-BBD7-CCE9431645EC}">
                        <a14:shadowObscured xmlns:a14="http://schemas.microsoft.com/office/drawing/2010/main"/>
                      </a:ext>
                    </a:extLst>
                  </pic:spPr>
                </pic:pic>
              </a:graphicData>
            </a:graphic>
          </wp:inline>
        </w:drawing>
      </w:r>
      <w:r w:rsidRPr="004043AE">
        <w:rPr>
          <w:noProof/>
        </w:rPr>
        <w:t xml:space="preserve"> </w:t>
      </w:r>
      <w:r>
        <w:rPr>
          <w:noProof/>
        </w:rPr>
        <w:drawing>
          <wp:inline distT="0" distB="0" distL="0" distR="0" wp14:anchorId="5FFC6C2C" wp14:editId="71CEB6AA">
            <wp:extent cx="8143875" cy="568325"/>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143875" cy="568325"/>
                    </a:xfrm>
                    <a:prstGeom prst="rect">
                      <a:avLst/>
                    </a:prstGeom>
                  </pic:spPr>
                </pic:pic>
              </a:graphicData>
            </a:graphic>
          </wp:inline>
        </w:drawing>
      </w:r>
    </w:p>
    <w:p w14:paraId="268110CB" w14:textId="6E1FA099" w:rsidR="00D0416C" w:rsidRDefault="002B09DF" w:rsidP="00CB2046">
      <w:pPr>
        <w:keepNext/>
        <w:widowControl w:val="0"/>
        <w:jc w:val="both"/>
        <w:rPr>
          <w:b/>
          <w:sz w:val="24"/>
          <w:szCs w:val="24"/>
        </w:rPr>
      </w:pPr>
      <w:r>
        <w:rPr>
          <w:b/>
          <w:sz w:val="24"/>
          <w:szCs w:val="24"/>
        </w:rPr>
        <w:lastRenderedPageBreak/>
        <w:t xml:space="preserve">Assess how the </w:t>
      </w:r>
      <w:r w:rsidR="00D07211">
        <w:rPr>
          <w:b/>
          <w:sz w:val="24"/>
          <w:szCs w:val="24"/>
        </w:rPr>
        <w:t>J</w:t>
      </w:r>
      <w:r>
        <w:rPr>
          <w:b/>
          <w:sz w:val="24"/>
          <w:szCs w:val="24"/>
        </w:rPr>
        <w:t>urisdiction</w:t>
      </w:r>
      <w:r w:rsidR="00D07211">
        <w:rPr>
          <w:b/>
          <w:sz w:val="24"/>
          <w:szCs w:val="24"/>
        </w:rPr>
        <w:t>'</w:t>
      </w:r>
      <w:r>
        <w:rPr>
          <w:b/>
          <w:sz w:val="24"/>
          <w:szCs w:val="24"/>
        </w:rPr>
        <w:t>s use of funds, particularly CDBG, addresses the priorities and specific objectives identified in the plan, giving special attention to the highest priority activities identified.</w:t>
      </w:r>
    </w:p>
    <w:p w14:paraId="406E03E7" w14:textId="11441C0C" w:rsidR="00E2768B" w:rsidRDefault="00E2768B" w:rsidP="00E2768B">
      <w:pPr>
        <w:pStyle w:val="Default"/>
        <w:jc w:val="both"/>
        <w:rPr>
          <w:sz w:val="23"/>
          <w:szCs w:val="23"/>
        </w:rPr>
      </w:pPr>
      <w:r>
        <w:rPr>
          <w:sz w:val="23"/>
          <w:szCs w:val="23"/>
        </w:rPr>
        <w:t>The City of Anniston</w:t>
      </w:r>
      <w:r w:rsidR="00D07211">
        <w:rPr>
          <w:sz w:val="23"/>
          <w:szCs w:val="23"/>
        </w:rPr>
        <w:t>'</w:t>
      </w:r>
      <w:r>
        <w:rPr>
          <w:sz w:val="23"/>
          <w:szCs w:val="23"/>
        </w:rPr>
        <w:t>s Community Development Department maintains partnerships with local nonprofits providing essential services for low-income households a</w:t>
      </w:r>
      <w:r w:rsidR="00D07211">
        <w:rPr>
          <w:sz w:val="23"/>
          <w:szCs w:val="23"/>
        </w:rPr>
        <w:t>nd</w:t>
      </w:r>
      <w:r>
        <w:rPr>
          <w:sz w:val="23"/>
          <w:szCs w:val="23"/>
        </w:rPr>
        <w:t xml:space="preserve"> other City departments to assess progress, provide extensions where necessary, and reallocate unused funds where necessary. The City continues to m</w:t>
      </w:r>
      <w:r w:rsidR="00D07211">
        <w:rPr>
          <w:sz w:val="23"/>
          <w:szCs w:val="23"/>
        </w:rPr>
        <w:t>eet</w:t>
      </w:r>
      <w:r>
        <w:rPr>
          <w:sz w:val="23"/>
          <w:szCs w:val="23"/>
        </w:rPr>
        <w:t xml:space="preserve"> our stated goals and objectives from the Action Plan and the Consolidated Plan. During FY2020, the City accomplished the following activities: </w:t>
      </w:r>
    </w:p>
    <w:p w14:paraId="57988BAF" w14:textId="77777777" w:rsidR="00E2768B" w:rsidRDefault="00E2768B" w:rsidP="00D07211">
      <w:pPr>
        <w:pStyle w:val="Default"/>
        <w:jc w:val="both"/>
        <w:rPr>
          <w:sz w:val="23"/>
          <w:szCs w:val="23"/>
        </w:rPr>
      </w:pPr>
    </w:p>
    <w:p w14:paraId="12339F74" w14:textId="77777777" w:rsidR="00E2768B" w:rsidRPr="00D65DC5" w:rsidRDefault="00E2768B" w:rsidP="00D07211">
      <w:pPr>
        <w:pStyle w:val="Default"/>
        <w:spacing w:after="39"/>
        <w:ind w:left="720"/>
        <w:jc w:val="both"/>
        <w:rPr>
          <w:sz w:val="23"/>
          <w:szCs w:val="23"/>
        </w:rPr>
      </w:pPr>
      <w:r w:rsidRPr="00D65DC5">
        <w:rPr>
          <w:rFonts w:ascii="Wingdings" w:hAnsi="Wingdings" w:cs="Wingdings"/>
          <w:sz w:val="23"/>
          <w:szCs w:val="23"/>
        </w:rPr>
        <w:t></w:t>
      </w:r>
      <w:r w:rsidRPr="00D65DC5">
        <w:rPr>
          <w:rFonts w:ascii="Wingdings" w:hAnsi="Wingdings" w:cs="Wingdings"/>
          <w:sz w:val="23"/>
          <w:szCs w:val="23"/>
        </w:rPr>
        <w:t></w:t>
      </w:r>
      <w:r w:rsidRPr="00D65DC5">
        <w:rPr>
          <w:sz w:val="23"/>
          <w:szCs w:val="23"/>
        </w:rPr>
        <w:t xml:space="preserve">Demolished </w:t>
      </w:r>
      <w:r w:rsidR="00D65DC5" w:rsidRPr="00D65DC5">
        <w:rPr>
          <w:sz w:val="23"/>
          <w:szCs w:val="23"/>
        </w:rPr>
        <w:t>3</w:t>
      </w:r>
      <w:r w:rsidRPr="00D65DC5">
        <w:rPr>
          <w:sz w:val="23"/>
          <w:szCs w:val="23"/>
        </w:rPr>
        <w:t xml:space="preserve">6 vacant and abandoned housing units </w:t>
      </w:r>
    </w:p>
    <w:p w14:paraId="6178E7AD" w14:textId="3E9CDA9A" w:rsidR="00E2768B" w:rsidRPr="00D65DC5" w:rsidRDefault="00E2768B" w:rsidP="00D07211">
      <w:pPr>
        <w:pStyle w:val="Default"/>
        <w:spacing w:after="39"/>
        <w:ind w:left="720"/>
        <w:jc w:val="both"/>
        <w:rPr>
          <w:sz w:val="23"/>
          <w:szCs w:val="23"/>
        </w:rPr>
      </w:pPr>
      <w:r w:rsidRPr="00D65DC5">
        <w:rPr>
          <w:rFonts w:ascii="Wingdings" w:hAnsi="Wingdings" w:cs="Wingdings"/>
          <w:sz w:val="23"/>
          <w:szCs w:val="23"/>
        </w:rPr>
        <w:t></w:t>
      </w:r>
      <w:r w:rsidRPr="00D65DC5">
        <w:rPr>
          <w:rFonts w:ascii="Wingdings" w:hAnsi="Wingdings" w:cs="Wingdings"/>
          <w:sz w:val="23"/>
          <w:szCs w:val="23"/>
        </w:rPr>
        <w:t></w:t>
      </w:r>
      <w:r w:rsidRPr="00D65DC5">
        <w:rPr>
          <w:sz w:val="23"/>
          <w:szCs w:val="23"/>
        </w:rPr>
        <w:t xml:space="preserve">Employed </w:t>
      </w:r>
      <w:r w:rsidR="00D07211">
        <w:rPr>
          <w:sz w:val="23"/>
          <w:szCs w:val="23"/>
        </w:rPr>
        <w:t>six</w:t>
      </w:r>
      <w:r w:rsidRPr="00D65DC5">
        <w:rPr>
          <w:sz w:val="23"/>
          <w:szCs w:val="23"/>
        </w:rPr>
        <w:t xml:space="preserve"> youth from low-income households for job training and mentorships </w:t>
      </w:r>
    </w:p>
    <w:p w14:paraId="765CBD13" w14:textId="77777777" w:rsidR="00E2768B" w:rsidRPr="00D65DC5" w:rsidRDefault="00E2768B" w:rsidP="00D07211">
      <w:pPr>
        <w:pStyle w:val="Default"/>
        <w:spacing w:after="39"/>
        <w:ind w:left="1080" w:hanging="360"/>
        <w:jc w:val="both"/>
        <w:rPr>
          <w:sz w:val="23"/>
          <w:szCs w:val="23"/>
        </w:rPr>
      </w:pPr>
      <w:r w:rsidRPr="00D65DC5">
        <w:rPr>
          <w:rFonts w:ascii="Wingdings" w:hAnsi="Wingdings" w:cs="Wingdings"/>
          <w:sz w:val="23"/>
          <w:szCs w:val="23"/>
        </w:rPr>
        <w:t></w:t>
      </w:r>
      <w:r w:rsidRPr="00D65DC5">
        <w:rPr>
          <w:rFonts w:ascii="Wingdings" w:hAnsi="Wingdings" w:cs="Wingdings"/>
          <w:sz w:val="23"/>
          <w:szCs w:val="23"/>
        </w:rPr>
        <w:t></w:t>
      </w:r>
      <w:r w:rsidRPr="00D65DC5">
        <w:rPr>
          <w:sz w:val="23"/>
          <w:szCs w:val="23"/>
        </w:rPr>
        <w:t xml:space="preserve">Implemented homeowner rehabilitation program and assisted </w:t>
      </w:r>
      <w:r w:rsidR="00D65DC5" w:rsidRPr="00D65DC5">
        <w:rPr>
          <w:sz w:val="23"/>
          <w:szCs w:val="23"/>
        </w:rPr>
        <w:t>26</w:t>
      </w:r>
      <w:r w:rsidRPr="00D65DC5">
        <w:rPr>
          <w:sz w:val="23"/>
          <w:szCs w:val="23"/>
        </w:rPr>
        <w:t xml:space="preserve"> low-income households </w:t>
      </w:r>
    </w:p>
    <w:p w14:paraId="5ECE6AF3" w14:textId="0560C953" w:rsidR="00E2768B" w:rsidRPr="00D65DC5" w:rsidRDefault="00E2768B" w:rsidP="00D07211">
      <w:pPr>
        <w:pStyle w:val="Default"/>
        <w:spacing w:after="39"/>
        <w:ind w:left="1080" w:hanging="360"/>
        <w:jc w:val="both"/>
        <w:rPr>
          <w:sz w:val="23"/>
          <w:szCs w:val="23"/>
        </w:rPr>
      </w:pPr>
      <w:r w:rsidRPr="00D65DC5">
        <w:rPr>
          <w:rFonts w:ascii="Wingdings" w:hAnsi="Wingdings" w:cs="Wingdings"/>
          <w:sz w:val="23"/>
          <w:szCs w:val="23"/>
        </w:rPr>
        <w:t></w:t>
      </w:r>
      <w:r w:rsidRPr="00D65DC5">
        <w:rPr>
          <w:rFonts w:ascii="Wingdings" w:hAnsi="Wingdings" w:cs="Wingdings"/>
          <w:sz w:val="23"/>
          <w:szCs w:val="23"/>
        </w:rPr>
        <w:t></w:t>
      </w:r>
      <w:r w:rsidRPr="00D65DC5">
        <w:rPr>
          <w:sz w:val="23"/>
          <w:szCs w:val="23"/>
        </w:rPr>
        <w:t>Provided financial assistance to St. Micheal</w:t>
      </w:r>
      <w:r w:rsidR="000511A8">
        <w:rPr>
          <w:sz w:val="23"/>
          <w:szCs w:val="23"/>
        </w:rPr>
        <w:t>’</w:t>
      </w:r>
      <w:bookmarkStart w:id="2" w:name="_GoBack"/>
      <w:bookmarkEnd w:id="2"/>
      <w:r w:rsidRPr="00D65DC5">
        <w:rPr>
          <w:sz w:val="23"/>
          <w:szCs w:val="23"/>
        </w:rPr>
        <w:t xml:space="preserve">s to improve health care services for low-income households </w:t>
      </w:r>
    </w:p>
    <w:p w14:paraId="2FE9DF98" w14:textId="77777777" w:rsidR="00E2768B" w:rsidRPr="00D65DC5" w:rsidRDefault="00E2768B" w:rsidP="00D07211">
      <w:pPr>
        <w:pStyle w:val="Default"/>
        <w:spacing w:after="39"/>
        <w:ind w:left="1080" w:hanging="360"/>
        <w:jc w:val="both"/>
        <w:rPr>
          <w:sz w:val="23"/>
          <w:szCs w:val="23"/>
        </w:rPr>
      </w:pPr>
      <w:r w:rsidRPr="00D65DC5">
        <w:rPr>
          <w:rFonts w:ascii="Wingdings" w:hAnsi="Wingdings" w:cs="Wingdings"/>
          <w:sz w:val="23"/>
          <w:szCs w:val="23"/>
        </w:rPr>
        <w:t></w:t>
      </w:r>
      <w:r w:rsidRPr="00D65DC5">
        <w:rPr>
          <w:rFonts w:ascii="Wingdings" w:hAnsi="Wingdings" w:cs="Wingdings"/>
          <w:sz w:val="23"/>
          <w:szCs w:val="23"/>
        </w:rPr>
        <w:t></w:t>
      </w:r>
      <w:r w:rsidRPr="00D65DC5">
        <w:rPr>
          <w:sz w:val="23"/>
          <w:szCs w:val="23"/>
        </w:rPr>
        <w:t xml:space="preserve">Provided financial assistance to Community Enabler Developer for emergency food assistance and school supplies. </w:t>
      </w:r>
    </w:p>
    <w:p w14:paraId="3A33929A" w14:textId="65269A3B" w:rsidR="00E2768B" w:rsidRPr="00D65DC5" w:rsidRDefault="00E2768B" w:rsidP="00D07211">
      <w:pPr>
        <w:pStyle w:val="Default"/>
        <w:spacing w:after="39"/>
        <w:ind w:left="1080" w:hanging="360"/>
        <w:jc w:val="both"/>
        <w:rPr>
          <w:sz w:val="23"/>
          <w:szCs w:val="23"/>
        </w:rPr>
      </w:pPr>
      <w:r w:rsidRPr="00D65DC5">
        <w:rPr>
          <w:rFonts w:ascii="Wingdings" w:hAnsi="Wingdings" w:cs="Wingdings"/>
          <w:sz w:val="23"/>
          <w:szCs w:val="23"/>
        </w:rPr>
        <w:t></w:t>
      </w:r>
      <w:r w:rsidRPr="00D65DC5">
        <w:rPr>
          <w:rFonts w:ascii="Wingdings" w:hAnsi="Wingdings" w:cs="Wingdings"/>
          <w:sz w:val="23"/>
          <w:szCs w:val="23"/>
        </w:rPr>
        <w:t></w:t>
      </w:r>
      <w:r w:rsidRPr="00D65DC5">
        <w:rPr>
          <w:sz w:val="23"/>
          <w:szCs w:val="23"/>
        </w:rPr>
        <w:t xml:space="preserve">Provided financial assistance to World Changers to assist </w:t>
      </w:r>
      <w:r w:rsidR="00D07211">
        <w:rPr>
          <w:sz w:val="23"/>
          <w:szCs w:val="23"/>
        </w:rPr>
        <w:t>five</w:t>
      </w:r>
      <w:r w:rsidRPr="00D65DC5">
        <w:rPr>
          <w:sz w:val="23"/>
          <w:szCs w:val="23"/>
        </w:rPr>
        <w:t xml:space="preserve"> low-income homeowners with housing rehabilitation. </w:t>
      </w:r>
    </w:p>
    <w:p w14:paraId="678BE340" w14:textId="77777777" w:rsidR="00E2768B" w:rsidRDefault="00E2768B" w:rsidP="00D07211">
      <w:pPr>
        <w:pStyle w:val="Default"/>
        <w:ind w:left="1080" w:hanging="360"/>
        <w:jc w:val="both"/>
        <w:rPr>
          <w:sz w:val="23"/>
          <w:szCs w:val="23"/>
        </w:rPr>
      </w:pPr>
      <w:r w:rsidRPr="00D65DC5">
        <w:rPr>
          <w:rFonts w:ascii="Wingdings" w:hAnsi="Wingdings" w:cs="Wingdings"/>
          <w:sz w:val="23"/>
          <w:szCs w:val="23"/>
        </w:rPr>
        <w:t></w:t>
      </w:r>
      <w:r w:rsidRPr="00D65DC5">
        <w:rPr>
          <w:rFonts w:ascii="Wingdings" w:hAnsi="Wingdings" w:cs="Wingdings"/>
          <w:sz w:val="23"/>
          <w:szCs w:val="23"/>
        </w:rPr>
        <w:t></w:t>
      </w:r>
      <w:r w:rsidRPr="00D65DC5">
        <w:rPr>
          <w:sz w:val="23"/>
          <w:szCs w:val="23"/>
        </w:rPr>
        <w:t>Provided financial assistance to Interfaith Ministries for emergency rental subsidies, utility assistance, and identification services.</w:t>
      </w:r>
      <w:r>
        <w:rPr>
          <w:sz w:val="23"/>
          <w:szCs w:val="23"/>
        </w:rPr>
        <w:t xml:space="preserve"> </w:t>
      </w:r>
    </w:p>
    <w:p w14:paraId="7C9A0F20" w14:textId="77777777" w:rsidR="00E2768B" w:rsidRDefault="00E2768B" w:rsidP="00E2768B">
      <w:pPr>
        <w:keepNext/>
        <w:widowControl w:val="0"/>
        <w:rPr>
          <w:b/>
          <w:sz w:val="24"/>
          <w:szCs w:val="24"/>
        </w:rPr>
      </w:pPr>
    </w:p>
    <w:p w14:paraId="3D4328A6" w14:textId="77777777" w:rsidR="00E2768B" w:rsidRDefault="00E2768B" w:rsidP="00E2768B">
      <w:pPr>
        <w:keepNext/>
        <w:widowControl w:val="0"/>
        <w:spacing w:line="204" w:lineRule="auto"/>
        <w:rPr>
          <w:b/>
          <w:sz w:val="24"/>
          <w:szCs w:val="24"/>
        </w:rPr>
      </w:pPr>
    </w:p>
    <w:p w14:paraId="547B430B" w14:textId="77777777" w:rsidR="00D0416C" w:rsidRDefault="00D0416C" w:rsidP="00CB2046">
      <w:pPr>
        <w:keepNext/>
        <w:widowControl w:val="0"/>
        <w:spacing w:line="204" w:lineRule="auto"/>
        <w:jc w:val="both"/>
        <w:rPr>
          <w:b/>
          <w:sz w:val="24"/>
          <w:szCs w:val="24"/>
        </w:rPr>
      </w:pPr>
    </w:p>
    <w:p w14:paraId="17C7D590" w14:textId="77777777" w:rsidR="00D0416C" w:rsidRDefault="00D0416C" w:rsidP="00CB2046">
      <w:pPr>
        <w:jc w:val="both"/>
        <w:rPr>
          <w:b/>
          <w:i/>
          <w:sz w:val="26"/>
          <w:szCs w:val="26"/>
        </w:rPr>
        <w:sectPr w:rsidR="00D0416C" w:rsidSect="00E2768B">
          <w:pgSz w:w="12240" w:h="15840"/>
          <w:pgMar w:top="1440" w:right="1440" w:bottom="1440" w:left="1440" w:header="720" w:footer="720" w:gutter="0"/>
          <w:cols w:space="720"/>
          <w:docGrid w:linePitch="360"/>
        </w:sectPr>
      </w:pPr>
    </w:p>
    <w:p w14:paraId="6858C39C" w14:textId="77777777" w:rsidR="00D0416C" w:rsidRPr="00D07211" w:rsidRDefault="002B09DF" w:rsidP="00D07211">
      <w:pPr>
        <w:pStyle w:val="Heading2"/>
        <w:shd w:val="clear" w:color="auto" w:fill="1F497D" w:themeFill="text2"/>
        <w:jc w:val="both"/>
        <w:rPr>
          <w:rFonts w:asciiTheme="minorHAnsi" w:hAnsiTheme="minorHAnsi"/>
          <w:i w:val="0"/>
          <w:color w:val="FFFFFF" w:themeColor="background1"/>
        </w:rPr>
      </w:pPr>
      <w:bookmarkStart w:id="3" w:name="_Toc86152491"/>
      <w:bookmarkStart w:id="4" w:name="_Hlk86228461"/>
      <w:bookmarkStart w:id="5" w:name="_Toc309810474"/>
      <w:r w:rsidRPr="00D07211">
        <w:rPr>
          <w:rFonts w:asciiTheme="minorHAnsi" w:hAnsiTheme="minorHAnsi"/>
          <w:i w:val="0"/>
          <w:color w:val="FFFFFF" w:themeColor="background1"/>
        </w:rPr>
        <w:lastRenderedPageBreak/>
        <w:t>CR-10 - Racial and Ethnic composition of families assisted</w:t>
      </w:r>
      <w:bookmarkEnd w:id="3"/>
    </w:p>
    <w:p w14:paraId="305530C2" w14:textId="77777777" w:rsidR="00D0416C" w:rsidRDefault="002B09DF" w:rsidP="00CB2046">
      <w:pPr>
        <w:keepNext/>
        <w:widowControl w:val="0"/>
        <w:jc w:val="both"/>
        <w:rPr>
          <w:b/>
          <w:sz w:val="24"/>
          <w:szCs w:val="24"/>
        </w:rPr>
      </w:pPr>
      <w:r>
        <w:rPr>
          <w:b/>
          <w:sz w:val="24"/>
          <w:szCs w:val="24"/>
        </w:rPr>
        <w:t xml:space="preserve">Describe the families assisted (including the racial and ethnic status of families assisted). 91.520(a) </w:t>
      </w:r>
    </w:p>
    <w:p w14:paraId="4F3C4A55" w14:textId="77777777" w:rsidR="00D0416C" w:rsidRDefault="00D0416C" w:rsidP="00CB2046">
      <w:pPr>
        <w:widowControl w:val="0"/>
        <w:spacing w:after="0" w:line="240" w:lineRule="auto"/>
        <w:jc w:val="both"/>
        <w:rPr>
          <w:b/>
          <w:vanish/>
          <w:sz w:val="24"/>
          <w:szCs w:val="24"/>
        </w:rPr>
      </w:pPr>
    </w:p>
    <w:p w14:paraId="56FC8022" w14:textId="77777777" w:rsidR="00D0416C" w:rsidRDefault="00D0416C" w:rsidP="00CB2046">
      <w:pPr>
        <w:pStyle w:val="NoSpacing"/>
        <w:rPr>
          <w:vanish/>
        </w:rPr>
      </w:pPr>
    </w:p>
    <w:p w14:paraId="2FCC8FB7" w14:textId="77777777" w:rsidR="00D0416C" w:rsidRDefault="00D0416C" w:rsidP="00CB2046">
      <w:pPr>
        <w:pStyle w:val="NoSpacing"/>
        <w:rPr>
          <w:vanish/>
        </w:rPr>
      </w:pPr>
    </w:p>
    <w:p w14:paraId="55B22084" w14:textId="77777777" w:rsidR="00D0416C" w:rsidRDefault="00D0416C" w:rsidP="00CB2046">
      <w:pPr>
        <w:pStyle w:val="NoSpacing"/>
        <w:rPr>
          <w:vanish/>
        </w:rPr>
      </w:pPr>
    </w:p>
    <w:p w14:paraId="2D965B45" w14:textId="77777777" w:rsidR="00D0416C" w:rsidRDefault="00D0416C" w:rsidP="00CB2046">
      <w:pPr>
        <w:pStyle w:val="NoSpacing"/>
        <w:rPr>
          <w:vanish/>
        </w:rPr>
      </w:pPr>
    </w:p>
    <w:p w14:paraId="7C382E72" w14:textId="77777777" w:rsidR="00D0416C" w:rsidRDefault="00D0416C" w:rsidP="00CB2046">
      <w:pPr>
        <w:pStyle w:val="NoSpacing"/>
        <w:rPr>
          <w:vanish/>
        </w:rPr>
      </w:pPr>
    </w:p>
    <w:p w14:paraId="125AB717" w14:textId="77777777" w:rsidR="00D0416C" w:rsidRDefault="00D0416C" w:rsidP="00CB2046">
      <w:pPr>
        <w:pStyle w:val="NoSpacing"/>
        <w:rPr>
          <w:vanish/>
        </w:rPr>
      </w:pPr>
    </w:p>
    <w:p w14:paraId="3D2EA195" w14:textId="77777777" w:rsidR="00D0416C" w:rsidRDefault="00D0416C" w:rsidP="00CB2046">
      <w:pPr>
        <w:pStyle w:val="NoSpacing"/>
        <w:rPr>
          <w:vanish/>
        </w:rPr>
      </w:pPr>
    </w:p>
    <w:p w14:paraId="40F99BC2" w14:textId="77777777" w:rsidR="00D0416C" w:rsidRDefault="00D0416C" w:rsidP="00CB2046">
      <w:pPr>
        <w:pStyle w:val="NoSpacing"/>
        <w:rPr>
          <w:vanish/>
        </w:rPr>
      </w:pPr>
    </w:p>
    <w:p w14:paraId="42D93805" w14:textId="77777777" w:rsidR="00D0416C" w:rsidRDefault="00D0416C" w:rsidP="00CB2046">
      <w:pPr>
        <w:pStyle w:val="NoSpacing"/>
        <w:rPr>
          <w:vanish/>
        </w:rPr>
      </w:pPr>
    </w:p>
    <w:tbl>
      <w:tblPr>
        <w:tblW w:w="43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6"/>
        <w:gridCol w:w="1620"/>
        <w:gridCol w:w="1625"/>
      </w:tblGrid>
      <w:tr w:rsidR="00D0416C" w14:paraId="21864E98" w14:textId="77777777" w:rsidTr="00D07211">
        <w:trPr>
          <w:cantSplit/>
          <w:jc w:val="center"/>
        </w:trPr>
        <w:tc>
          <w:tcPr>
            <w:tcW w:w="2997" w:type="pct"/>
            <w:shd w:val="clear" w:color="auto" w:fill="BFBFBF" w:themeFill="background1" w:themeFillShade="BF"/>
          </w:tcPr>
          <w:p w14:paraId="2246E9CA" w14:textId="77777777" w:rsidR="00D0416C" w:rsidRDefault="00D0416C" w:rsidP="00CB2046">
            <w:pPr>
              <w:spacing w:after="0"/>
              <w:jc w:val="both"/>
              <w:rPr>
                <w:b/>
              </w:rPr>
            </w:pPr>
          </w:p>
        </w:tc>
        <w:tc>
          <w:tcPr>
            <w:tcW w:w="1000" w:type="pct"/>
            <w:shd w:val="clear" w:color="auto" w:fill="BFBFBF" w:themeFill="background1" w:themeFillShade="BF"/>
          </w:tcPr>
          <w:p w14:paraId="1583B949" w14:textId="77777777" w:rsidR="00D0416C" w:rsidRDefault="002B09DF" w:rsidP="00D07211">
            <w:pPr>
              <w:spacing w:after="0"/>
              <w:jc w:val="center"/>
              <w:rPr>
                <w:b/>
              </w:rPr>
            </w:pPr>
            <w:r>
              <w:rPr>
                <w:b/>
              </w:rPr>
              <w:t>CDBG</w:t>
            </w:r>
          </w:p>
        </w:tc>
        <w:tc>
          <w:tcPr>
            <w:tcW w:w="1004" w:type="pct"/>
            <w:shd w:val="clear" w:color="auto" w:fill="BFBFBF" w:themeFill="background1" w:themeFillShade="BF"/>
          </w:tcPr>
          <w:p w14:paraId="7967E342" w14:textId="77777777" w:rsidR="00D0416C" w:rsidRDefault="002B09DF" w:rsidP="00D07211">
            <w:pPr>
              <w:spacing w:after="0"/>
              <w:jc w:val="center"/>
              <w:rPr>
                <w:b/>
              </w:rPr>
            </w:pPr>
            <w:r>
              <w:rPr>
                <w:b/>
              </w:rPr>
              <w:t>HOME</w:t>
            </w:r>
          </w:p>
        </w:tc>
      </w:tr>
      <w:tr w:rsidR="00D0416C" w14:paraId="04333B78" w14:textId="77777777" w:rsidTr="00D07211">
        <w:trPr>
          <w:cantSplit/>
          <w:jc w:val="center"/>
        </w:trPr>
        <w:tc>
          <w:tcPr>
            <w:tcW w:w="2997" w:type="pct"/>
            <w:vAlign w:val="bottom"/>
          </w:tcPr>
          <w:p w14:paraId="3881DB2F" w14:textId="77777777" w:rsidR="00D0416C" w:rsidRDefault="002B09DF" w:rsidP="00CB2046">
            <w:pPr>
              <w:spacing w:beforeAutospacing="1" w:afterAutospacing="1"/>
              <w:jc w:val="both"/>
            </w:pPr>
            <w:r>
              <w:rPr>
                <w:color w:val="000000"/>
              </w:rPr>
              <w:t>White</w:t>
            </w:r>
          </w:p>
        </w:tc>
        <w:tc>
          <w:tcPr>
            <w:tcW w:w="1000" w:type="pct"/>
            <w:vAlign w:val="bottom"/>
          </w:tcPr>
          <w:p w14:paraId="68C27C3A" w14:textId="77777777" w:rsidR="00D0416C" w:rsidRDefault="000F3E03" w:rsidP="00142395">
            <w:pPr>
              <w:spacing w:beforeAutospacing="1" w:afterAutospacing="1"/>
              <w:jc w:val="center"/>
            </w:pPr>
            <w:r>
              <w:t>173</w:t>
            </w:r>
          </w:p>
        </w:tc>
        <w:tc>
          <w:tcPr>
            <w:tcW w:w="1004" w:type="pct"/>
            <w:vAlign w:val="bottom"/>
          </w:tcPr>
          <w:p w14:paraId="0824BB54" w14:textId="77777777" w:rsidR="00D0416C" w:rsidRDefault="000F3E03" w:rsidP="00142395">
            <w:pPr>
              <w:spacing w:beforeAutospacing="1" w:afterAutospacing="1"/>
              <w:jc w:val="center"/>
            </w:pPr>
            <w:r>
              <w:t>2</w:t>
            </w:r>
          </w:p>
        </w:tc>
      </w:tr>
      <w:tr w:rsidR="00D0416C" w14:paraId="738FCB3D" w14:textId="77777777" w:rsidTr="00D07211">
        <w:trPr>
          <w:cantSplit/>
          <w:jc w:val="center"/>
        </w:trPr>
        <w:tc>
          <w:tcPr>
            <w:tcW w:w="2997" w:type="pct"/>
            <w:vAlign w:val="bottom"/>
          </w:tcPr>
          <w:p w14:paraId="3C7D15AE" w14:textId="77777777" w:rsidR="00D0416C" w:rsidRDefault="002B09DF" w:rsidP="00CB2046">
            <w:pPr>
              <w:spacing w:beforeAutospacing="1" w:afterAutospacing="1"/>
              <w:jc w:val="both"/>
            </w:pPr>
            <w:r>
              <w:rPr>
                <w:color w:val="000000"/>
              </w:rPr>
              <w:t>Black or African American</w:t>
            </w:r>
          </w:p>
        </w:tc>
        <w:tc>
          <w:tcPr>
            <w:tcW w:w="1000" w:type="pct"/>
            <w:vAlign w:val="bottom"/>
          </w:tcPr>
          <w:p w14:paraId="25B578B3" w14:textId="77777777" w:rsidR="00D0416C" w:rsidRDefault="000F3E03" w:rsidP="00142395">
            <w:pPr>
              <w:spacing w:beforeAutospacing="1" w:afterAutospacing="1"/>
              <w:jc w:val="center"/>
            </w:pPr>
            <w:r>
              <w:t>455</w:t>
            </w:r>
          </w:p>
        </w:tc>
        <w:tc>
          <w:tcPr>
            <w:tcW w:w="1004" w:type="pct"/>
            <w:vAlign w:val="bottom"/>
          </w:tcPr>
          <w:p w14:paraId="3DE41F41" w14:textId="77777777" w:rsidR="00D0416C" w:rsidRDefault="000F3E03" w:rsidP="00142395">
            <w:pPr>
              <w:spacing w:beforeAutospacing="1" w:afterAutospacing="1"/>
              <w:jc w:val="center"/>
            </w:pPr>
            <w:r>
              <w:t>5</w:t>
            </w:r>
          </w:p>
        </w:tc>
      </w:tr>
      <w:tr w:rsidR="00D0416C" w14:paraId="6EE8D541" w14:textId="77777777" w:rsidTr="00D07211">
        <w:trPr>
          <w:cantSplit/>
          <w:jc w:val="center"/>
        </w:trPr>
        <w:tc>
          <w:tcPr>
            <w:tcW w:w="2997" w:type="pct"/>
            <w:vAlign w:val="bottom"/>
          </w:tcPr>
          <w:p w14:paraId="6E74E010" w14:textId="77777777" w:rsidR="00D0416C" w:rsidRDefault="002B09DF" w:rsidP="00CB2046">
            <w:pPr>
              <w:spacing w:beforeAutospacing="1" w:afterAutospacing="1"/>
              <w:jc w:val="both"/>
            </w:pPr>
            <w:r>
              <w:rPr>
                <w:color w:val="000000"/>
              </w:rPr>
              <w:t>Asian</w:t>
            </w:r>
          </w:p>
        </w:tc>
        <w:tc>
          <w:tcPr>
            <w:tcW w:w="1000" w:type="pct"/>
            <w:vAlign w:val="bottom"/>
          </w:tcPr>
          <w:p w14:paraId="14C4BE3A" w14:textId="77777777" w:rsidR="00D0416C" w:rsidRDefault="002B09DF" w:rsidP="00142395">
            <w:pPr>
              <w:spacing w:beforeAutospacing="1" w:afterAutospacing="1"/>
              <w:jc w:val="center"/>
            </w:pPr>
            <w:r>
              <w:rPr>
                <w:color w:val="000000"/>
              </w:rPr>
              <w:t>0</w:t>
            </w:r>
          </w:p>
        </w:tc>
        <w:tc>
          <w:tcPr>
            <w:tcW w:w="1004" w:type="pct"/>
            <w:vAlign w:val="bottom"/>
          </w:tcPr>
          <w:p w14:paraId="5AC266A6" w14:textId="77777777" w:rsidR="00D0416C" w:rsidRDefault="002B09DF" w:rsidP="00142395">
            <w:pPr>
              <w:spacing w:beforeAutospacing="1" w:afterAutospacing="1"/>
              <w:jc w:val="center"/>
            </w:pPr>
            <w:r>
              <w:rPr>
                <w:color w:val="000000"/>
              </w:rPr>
              <w:t>0</w:t>
            </w:r>
          </w:p>
        </w:tc>
      </w:tr>
      <w:tr w:rsidR="00D0416C" w14:paraId="5A431B3D" w14:textId="77777777" w:rsidTr="00D07211">
        <w:trPr>
          <w:cantSplit/>
          <w:jc w:val="center"/>
        </w:trPr>
        <w:tc>
          <w:tcPr>
            <w:tcW w:w="2997" w:type="pct"/>
            <w:vAlign w:val="bottom"/>
          </w:tcPr>
          <w:p w14:paraId="754A0E7A" w14:textId="77777777" w:rsidR="00D0416C" w:rsidRDefault="002B09DF" w:rsidP="00CB2046">
            <w:pPr>
              <w:spacing w:beforeAutospacing="1" w:afterAutospacing="1"/>
              <w:jc w:val="both"/>
            </w:pPr>
            <w:r>
              <w:rPr>
                <w:color w:val="000000"/>
              </w:rPr>
              <w:t>American Indian or American Native</w:t>
            </w:r>
          </w:p>
        </w:tc>
        <w:tc>
          <w:tcPr>
            <w:tcW w:w="1000" w:type="pct"/>
            <w:vAlign w:val="bottom"/>
          </w:tcPr>
          <w:p w14:paraId="351A65DE" w14:textId="77777777" w:rsidR="00D0416C" w:rsidRDefault="002B09DF" w:rsidP="00142395">
            <w:pPr>
              <w:spacing w:beforeAutospacing="1" w:afterAutospacing="1"/>
              <w:jc w:val="center"/>
            </w:pPr>
            <w:r>
              <w:rPr>
                <w:color w:val="000000"/>
              </w:rPr>
              <w:t>0</w:t>
            </w:r>
          </w:p>
        </w:tc>
        <w:tc>
          <w:tcPr>
            <w:tcW w:w="1004" w:type="pct"/>
            <w:vAlign w:val="bottom"/>
          </w:tcPr>
          <w:p w14:paraId="50C2BFC0" w14:textId="77777777" w:rsidR="00D0416C" w:rsidRDefault="002B09DF" w:rsidP="00142395">
            <w:pPr>
              <w:spacing w:beforeAutospacing="1" w:afterAutospacing="1"/>
              <w:jc w:val="center"/>
            </w:pPr>
            <w:r>
              <w:rPr>
                <w:color w:val="000000"/>
              </w:rPr>
              <w:t>0</w:t>
            </w:r>
          </w:p>
        </w:tc>
      </w:tr>
      <w:tr w:rsidR="00D0416C" w14:paraId="1228F561" w14:textId="77777777" w:rsidTr="00D07211">
        <w:trPr>
          <w:cantSplit/>
          <w:jc w:val="center"/>
        </w:trPr>
        <w:tc>
          <w:tcPr>
            <w:tcW w:w="2997" w:type="pct"/>
            <w:vAlign w:val="bottom"/>
          </w:tcPr>
          <w:p w14:paraId="5B78E1FA" w14:textId="77777777" w:rsidR="00D0416C" w:rsidRDefault="002B09DF" w:rsidP="00CB2046">
            <w:pPr>
              <w:spacing w:beforeAutospacing="1" w:afterAutospacing="1"/>
              <w:jc w:val="both"/>
            </w:pPr>
            <w:r>
              <w:rPr>
                <w:color w:val="000000"/>
              </w:rPr>
              <w:t>Native Hawaiian or Other Pacific Islander</w:t>
            </w:r>
          </w:p>
        </w:tc>
        <w:tc>
          <w:tcPr>
            <w:tcW w:w="1000" w:type="pct"/>
            <w:vAlign w:val="bottom"/>
          </w:tcPr>
          <w:p w14:paraId="47822676" w14:textId="77777777" w:rsidR="00D0416C" w:rsidRDefault="002B09DF" w:rsidP="00142395">
            <w:pPr>
              <w:spacing w:beforeAutospacing="1" w:afterAutospacing="1"/>
              <w:jc w:val="center"/>
            </w:pPr>
            <w:r>
              <w:rPr>
                <w:color w:val="000000"/>
              </w:rPr>
              <w:t>0</w:t>
            </w:r>
          </w:p>
        </w:tc>
        <w:tc>
          <w:tcPr>
            <w:tcW w:w="1004" w:type="pct"/>
            <w:vAlign w:val="bottom"/>
          </w:tcPr>
          <w:p w14:paraId="670A5342" w14:textId="77777777" w:rsidR="00D0416C" w:rsidRDefault="002B09DF" w:rsidP="00142395">
            <w:pPr>
              <w:spacing w:beforeAutospacing="1" w:afterAutospacing="1"/>
              <w:jc w:val="center"/>
            </w:pPr>
            <w:r>
              <w:rPr>
                <w:color w:val="000000"/>
              </w:rPr>
              <w:t>0</w:t>
            </w:r>
          </w:p>
        </w:tc>
      </w:tr>
    </w:tbl>
    <w:p w14:paraId="485A3B04" w14:textId="77777777" w:rsidR="00D0416C" w:rsidRDefault="00D0416C" w:rsidP="00CB2046">
      <w:pPr>
        <w:pStyle w:val="NoSpacing"/>
        <w:rPr>
          <w:vanish/>
        </w:rPr>
      </w:pPr>
    </w:p>
    <w:tbl>
      <w:tblPr>
        <w:tblW w:w="4331"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62"/>
        <w:gridCol w:w="1617"/>
        <w:gridCol w:w="1620"/>
      </w:tblGrid>
      <w:tr w:rsidR="00D0416C" w14:paraId="4C9708D1" w14:textId="77777777" w:rsidTr="00D07211">
        <w:trPr>
          <w:cantSplit/>
          <w:hidden/>
        </w:trPr>
        <w:tc>
          <w:tcPr>
            <w:tcW w:w="3002" w:type="pct"/>
          </w:tcPr>
          <w:p w14:paraId="4896EBCF" w14:textId="77777777" w:rsidR="00D0416C" w:rsidRDefault="00D0416C" w:rsidP="00CB2046">
            <w:pPr>
              <w:keepNext/>
              <w:widowControl w:val="0"/>
              <w:spacing w:after="0" w:line="240" w:lineRule="auto"/>
              <w:jc w:val="both"/>
              <w:rPr>
                <w:vanish/>
              </w:rPr>
            </w:pPr>
          </w:p>
        </w:tc>
        <w:tc>
          <w:tcPr>
            <w:tcW w:w="998" w:type="pct"/>
          </w:tcPr>
          <w:p w14:paraId="60E1387E" w14:textId="77777777" w:rsidR="00D0416C" w:rsidRDefault="00D0416C" w:rsidP="00CB2046">
            <w:pPr>
              <w:keepNext/>
              <w:widowControl w:val="0"/>
              <w:spacing w:after="0" w:line="240" w:lineRule="auto"/>
              <w:jc w:val="both"/>
              <w:rPr>
                <w:b/>
                <w:vanish/>
              </w:rPr>
            </w:pPr>
          </w:p>
        </w:tc>
        <w:tc>
          <w:tcPr>
            <w:tcW w:w="1000" w:type="pct"/>
          </w:tcPr>
          <w:p w14:paraId="3B4120E0" w14:textId="77777777" w:rsidR="00D0416C" w:rsidRDefault="00D0416C" w:rsidP="00CB2046">
            <w:pPr>
              <w:keepNext/>
              <w:widowControl w:val="0"/>
              <w:spacing w:after="0" w:line="240" w:lineRule="auto"/>
              <w:jc w:val="both"/>
              <w:rPr>
                <w:b/>
                <w:vanish/>
              </w:rPr>
            </w:pPr>
          </w:p>
        </w:tc>
      </w:tr>
      <w:tr w:rsidR="00D07211" w14:paraId="436CABCB" w14:textId="77777777" w:rsidTr="00D07211">
        <w:trPr>
          <w:cantSplit/>
        </w:trPr>
        <w:tc>
          <w:tcPr>
            <w:tcW w:w="3002" w:type="pct"/>
            <w:shd w:val="clear" w:color="auto" w:fill="95B3D7" w:themeFill="accent1" w:themeFillTint="99"/>
            <w:vAlign w:val="bottom"/>
          </w:tcPr>
          <w:p w14:paraId="593A12CA" w14:textId="77777777" w:rsidR="00D0416C" w:rsidRDefault="002B09DF" w:rsidP="00CB2046">
            <w:pPr>
              <w:spacing w:beforeAutospacing="1" w:afterAutospacing="1"/>
              <w:jc w:val="both"/>
            </w:pPr>
            <w:r>
              <w:rPr>
                <w:b/>
                <w:color w:val="000000"/>
              </w:rPr>
              <w:t>Total</w:t>
            </w:r>
          </w:p>
        </w:tc>
        <w:tc>
          <w:tcPr>
            <w:tcW w:w="998" w:type="pct"/>
            <w:shd w:val="clear" w:color="auto" w:fill="95B3D7" w:themeFill="accent1" w:themeFillTint="99"/>
            <w:vAlign w:val="bottom"/>
          </w:tcPr>
          <w:p w14:paraId="23EFB98F" w14:textId="77777777" w:rsidR="00D0416C" w:rsidRPr="000F3E03" w:rsidRDefault="000F3E03" w:rsidP="00142395">
            <w:pPr>
              <w:spacing w:beforeAutospacing="1" w:afterAutospacing="1"/>
              <w:jc w:val="center"/>
              <w:rPr>
                <w:b/>
                <w:bCs/>
              </w:rPr>
            </w:pPr>
            <w:r w:rsidRPr="000F3E03">
              <w:rPr>
                <w:b/>
                <w:bCs/>
              </w:rPr>
              <w:t>628</w:t>
            </w:r>
          </w:p>
        </w:tc>
        <w:tc>
          <w:tcPr>
            <w:tcW w:w="1000" w:type="pct"/>
            <w:shd w:val="clear" w:color="auto" w:fill="95B3D7" w:themeFill="accent1" w:themeFillTint="99"/>
            <w:vAlign w:val="bottom"/>
          </w:tcPr>
          <w:p w14:paraId="3EAE6530" w14:textId="77777777" w:rsidR="00D0416C" w:rsidRPr="000F3E03" w:rsidRDefault="000F3E03" w:rsidP="00142395">
            <w:pPr>
              <w:spacing w:beforeAutospacing="1" w:afterAutospacing="1"/>
              <w:jc w:val="center"/>
              <w:rPr>
                <w:b/>
                <w:bCs/>
              </w:rPr>
            </w:pPr>
            <w:r w:rsidRPr="000F3E03">
              <w:rPr>
                <w:b/>
                <w:bCs/>
              </w:rPr>
              <w:t>7</w:t>
            </w:r>
          </w:p>
        </w:tc>
      </w:tr>
    </w:tbl>
    <w:p w14:paraId="3B075DEB" w14:textId="77777777" w:rsidR="00D0416C" w:rsidRDefault="00D0416C" w:rsidP="00CB2046">
      <w:pPr>
        <w:pStyle w:val="NoSpacing"/>
        <w:rPr>
          <w:vanish/>
        </w:rPr>
      </w:pPr>
    </w:p>
    <w:tbl>
      <w:tblPr>
        <w:tblW w:w="4331"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63"/>
        <w:gridCol w:w="1618"/>
        <w:gridCol w:w="1618"/>
      </w:tblGrid>
      <w:tr w:rsidR="00D0416C" w14:paraId="6AAAE751" w14:textId="77777777" w:rsidTr="00D07211">
        <w:trPr>
          <w:cantSplit/>
          <w:hidden/>
        </w:trPr>
        <w:tc>
          <w:tcPr>
            <w:tcW w:w="3002" w:type="pct"/>
          </w:tcPr>
          <w:p w14:paraId="24AACBAD" w14:textId="77777777" w:rsidR="00D0416C" w:rsidRDefault="00D0416C" w:rsidP="00CB2046">
            <w:pPr>
              <w:keepNext/>
              <w:widowControl w:val="0"/>
              <w:spacing w:after="0" w:line="240" w:lineRule="auto"/>
              <w:jc w:val="both"/>
              <w:rPr>
                <w:vanish/>
              </w:rPr>
            </w:pPr>
          </w:p>
        </w:tc>
        <w:tc>
          <w:tcPr>
            <w:tcW w:w="999" w:type="pct"/>
          </w:tcPr>
          <w:p w14:paraId="47547461" w14:textId="77777777" w:rsidR="00D0416C" w:rsidRDefault="00D0416C" w:rsidP="00CB2046">
            <w:pPr>
              <w:keepNext/>
              <w:widowControl w:val="0"/>
              <w:spacing w:after="0" w:line="240" w:lineRule="auto"/>
              <w:jc w:val="both"/>
              <w:rPr>
                <w:b/>
                <w:vanish/>
              </w:rPr>
            </w:pPr>
          </w:p>
        </w:tc>
        <w:tc>
          <w:tcPr>
            <w:tcW w:w="1000" w:type="pct"/>
          </w:tcPr>
          <w:p w14:paraId="0E01807D" w14:textId="77777777" w:rsidR="00D0416C" w:rsidRDefault="00D0416C" w:rsidP="00CB2046">
            <w:pPr>
              <w:keepNext/>
              <w:widowControl w:val="0"/>
              <w:spacing w:after="0" w:line="240" w:lineRule="auto"/>
              <w:jc w:val="both"/>
              <w:rPr>
                <w:b/>
                <w:vanish/>
              </w:rPr>
            </w:pPr>
          </w:p>
        </w:tc>
      </w:tr>
      <w:tr w:rsidR="00D0416C" w14:paraId="7469B2D3" w14:textId="77777777" w:rsidTr="00D07211">
        <w:trPr>
          <w:cantSplit/>
        </w:trPr>
        <w:tc>
          <w:tcPr>
            <w:tcW w:w="3002" w:type="pct"/>
            <w:vAlign w:val="bottom"/>
          </w:tcPr>
          <w:p w14:paraId="3978F933" w14:textId="77777777" w:rsidR="00D0416C" w:rsidRDefault="002B09DF" w:rsidP="00CB2046">
            <w:pPr>
              <w:spacing w:beforeAutospacing="1" w:afterAutospacing="1"/>
              <w:jc w:val="both"/>
            </w:pPr>
            <w:r>
              <w:rPr>
                <w:color w:val="000000"/>
              </w:rPr>
              <w:t>Hispanic</w:t>
            </w:r>
          </w:p>
        </w:tc>
        <w:tc>
          <w:tcPr>
            <w:tcW w:w="999" w:type="pct"/>
            <w:vAlign w:val="bottom"/>
          </w:tcPr>
          <w:p w14:paraId="70FCED25" w14:textId="77777777" w:rsidR="00D0416C" w:rsidRDefault="000F3E03" w:rsidP="00142395">
            <w:pPr>
              <w:spacing w:beforeAutospacing="1" w:afterAutospacing="1"/>
              <w:jc w:val="center"/>
            </w:pPr>
            <w:r>
              <w:t>27</w:t>
            </w:r>
          </w:p>
        </w:tc>
        <w:tc>
          <w:tcPr>
            <w:tcW w:w="1000" w:type="pct"/>
            <w:vAlign w:val="bottom"/>
          </w:tcPr>
          <w:p w14:paraId="3222998E" w14:textId="77777777" w:rsidR="00D0416C" w:rsidRDefault="002B09DF" w:rsidP="00142395">
            <w:pPr>
              <w:spacing w:beforeAutospacing="1" w:afterAutospacing="1"/>
              <w:jc w:val="center"/>
            </w:pPr>
            <w:r>
              <w:rPr>
                <w:color w:val="000000"/>
              </w:rPr>
              <w:t>0</w:t>
            </w:r>
          </w:p>
        </w:tc>
      </w:tr>
      <w:tr w:rsidR="00D0416C" w14:paraId="0D8C8AC2" w14:textId="77777777" w:rsidTr="00D07211">
        <w:trPr>
          <w:cantSplit/>
        </w:trPr>
        <w:tc>
          <w:tcPr>
            <w:tcW w:w="3002" w:type="pct"/>
            <w:vAlign w:val="bottom"/>
          </w:tcPr>
          <w:p w14:paraId="15FE4B7B" w14:textId="77777777" w:rsidR="00D0416C" w:rsidRDefault="002B09DF" w:rsidP="00CB2046">
            <w:pPr>
              <w:spacing w:beforeAutospacing="1" w:afterAutospacing="1"/>
              <w:jc w:val="both"/>
            </w:pPr>
            <w:r>
              <w:rPr>
                <w:color w:val="000000"/>
              </w:rPr>
              <w:t>Not Hispanic</w:t>
            </w:r>
          </w:p>
        </w:tc>
        <w:tc>
          <w:tcPr>
            <w:tcW w:w="999" w:type="pct"/>
            <w:vAlign w:val="bottom"/>
          </w:tcPr>
          <w:p w14:paraId="57A266DA" w14:textId="77777777" w:rsidR="00D0416C" w:rsidRDefault="000F3E03" w:rsidP="00142395">
            <w:pPr>
              <w:spacing w:beforeAutospacing="1" w:afterAutospacing="1"/>
              <w:jc w:val="center"/>
            </w:pPr>
            <w:r>
              <w:t>601</w:t>
            </w:r>
          </w:p>
        </w:tc>
        <w:tc>
          <w:tcPr>
            <w:tcW w:w="1000" w:type="pct"/>
            <w:vAlign w:val="bottom"/>
          </w:tcPr>
          <w:p w14:paraId="0C50A9BE" w14:textId="77777777" w:rsidR="00D0416C" w:rsidRDefault="000F3E03" w:rsidP="00142395">
            <w:pPr>
              <w:spacing w:beforeAutospacing="1" w:afterAutospacing="1"/>
              <w:jc w:val="center"/>
            </w:pPr>
            <w:r>
              <w:t>7</w:t>
            </w:r>
          </w:p>
        </w:tc>
      </w:tr>
      <w:bookmarkEnd w:id="4"/>
    </w:tbl>
    <w:p w14:paraId="63B3F8CF" w14:textId="77777777" w:rsidR="00D0416C" w:rsidRDefault="00D0416C" w:rsidP="00CB2046">
      <w:pPr>
        <w:pStyle w:val="NoSpacing"/>
        <w:rPr>
          <w:vanish/>
        </w:rPr>
      </w:pPr>
    </w:p>
    <w:p w14:paraId="0A5D1038" w14:textId="77777777" w:rsidR="00D0416C" w:rsidRDefault="00D0416C" w:rsidP="00CB2046">
      <w:pPr>
        <w:pStyle w:val="NoSpacing"/>
        <w:rPr>
          <w:vanish/>
        </w:rPr>
      </w:pPr>
    </w:p>
    <w:p w14:paraId="2F43E0DA" w14:textId="77777777" w:rsidR="00D0416C" w:rsidRDefault="00D0416C" w:rsidP="00CB2046">
      <w:pPr>
        <w:pStyle w:val="NoSpacing"/>
        <w:rPr>
          <w:vanish/>
        </w:rPr>
      </w:pPr>
    </w:p>
    <w:p w14:paraId="5A15E0FD" w14:textId="77777777" w:rsidR="00D0416C" w:rsidRDefault="00D0416C" w:rsidP="00CB2046">
      <w:pPr>
        <w:pStyle w:val="NoSpacing"/>
        <w:rPr>
          <w:vanish/>
        </w:rPr>
      </w:pPr>
    </w:p>
    <w:p w14:paraId="146522EE" w14:textId="77777777" w:rsidR="00D0416C" w:rsidRDefault="00D0416C" w:rsidP="00CB2046">
      <w:pPr>
        <w:pStyle w:val="NoSpacing"/>
        <w:rPr>
          <w:vanish/>
        </w:rPr>
      </w:pPr>
    </w:p>
    <w:p w14:paraId="06F9AFD9" w14:textId="77777777" w:rsidR="00D0416C" w:rsidRDefault="00D0416C" w:rsidP="00CB2046">
      <w:pPr>
        <w:pStyle w:val="NoSpacing"/>
      </w:pPr>
    </w:p>
    <w:p w14:paraId="33DBD1D4" w14:textId="77777777" w:rsidR="00D0416C" w:rsidRDefault="00D0416C" w:rsidP="00CB2046">
      <w:pPr>
        <w:pStyle w:val="NoSpacing"/>
        <w:rPr>
          <w:vanish/>
        </w:rPr>
      </w:pPr>
    </w:p>
    <w:p w14:paraId="130D7C1F" w14:textId="77777777" w:rsidR="00D0416C" w:rsidRDefault="00D0416C" w:rsidP="00CB2046">
      <w:pPr>
        <w:pStyle w:val="NoSpacing"/>
        <w:rPr>
          <w:vanish/>
        </w:rPr>
      </w:pPr>
    </w:p>
    <w:p w14:paraId="075F7D65" w14:textId="77777777" w:rsidR="00D0416C" w:rsidRDefault="00D0416C" w:rsidP="00CB2046">
      <w:pPr>
        <w:pStyle w:val="NoSpacing"/>
        <w:rPr>
          <w:vanish/>
        </w:rPr>
      </w:pPr>
    </w:p>
    <w:p w14:paraId="755A2DC8" w14:textId="77777777" w:rsidR="00D0416C" w:rsidRDefault="00D0416C" w:rsidP="00CB2046">
      <w:pPr>
        <w:pStyle w:val="NoSpacing"/>
        <w:rPr>
          <w:vanish/>
        </w:rPr>
      </w:pPr>
    </w:p>
    <w:p w14:paraId="1F9B444D" w14:textId="77777777" w:rsidR="00D0416C" w:rsidRDefault="00D0416C" w:rsidP="00CB2046">
      <w:pPr>
        <w:pStyle w:val="NoSpacing"/>
        <w:rPr>
          <w:vanish/>
        </w:rPr>
      </w:pPr>
    </w:p>
    <w:p w14:paraId="2297EE27" w14:textId="77777777" w:rsidR="00D0416C" w:rsidRDefault="00D0416C" w:rsidP="00CB2046">
      <w:pPr>
        <w:pStyle w:val="NoSpacing"/>
        <w:rPr>
          <w:vanish/>
        </w:rPr>
      </w:pPr>
    </w:p>
    <w:p w14:paraId="39982024" w14:textId="77777777" w:rsidR="00D0416C" w:rsidRDefault="00D0416C" w:rsidP="00CB2046">
      <w:pPr>
        <w:pStyle w:val="NoSpacing"/>
        <w:rPr>
          <w:vanish/>
        </w:rPr>
      </w:pPr>
    </w:p>
    <w:p w14:paraId="1C15D3FB" w14:textId="77777777" w:rsidR="00D0416C" w:rsidRDefault="00D0416C" w:rsidP="00CB2046">
      <w:pPr>
        <w:pStyle w:val="NoSpacing"/>
        <w:rPr>
          <w:vanish/>
        </w:rPr>
      </w:pPr>
    </w:p>
    <w:p w14:paraId="0C7201EE" w14:textId="77777777" w:rsidR="00D0416C" w:rsidRDefault="00D0416C" w:rsidP="00CB2046">
      <w:pPr>
        <w:pStyle w:val="NoSpacing"/>
        <w:rPr>
          <w:vanish/>
        </w:rPr>
      </w:pPr>
    </w:p>
    <w:p w14:paraId="0CC0AE5A" w14:textId="77777777" w:rsidR="00D0416C" w:rsidRDefault="00D0416C" w:rsidP="00CB2046">
      <w:pPr>
        <w:pStyle w:val="NoSpacing"/>
        <w:rPr>
          <w:vanish/>
        </w:rPr>
      </w:pPr>
    </w:p>
    <w:p w14:paraId="56ED7096" w14:textId="77777777" w:rsidR="00D0416C" w:rsidRDefault="00D0416C" w:rsidP="00CB2046">
      <w:pPr>
        <w:keepNext/>
        <w:widowControl w:val="0"/>
        <w:spacing w:after="0" w:line="240" w:lineRule="auto"/>
        <w:jc w:val="both"/>
        <w:rPr>
          <w:b/>
          <w:vanish/>
          <w:sz w:val="24"/>
          <w:szCs w:val="24"/>
        </w:rPr>
      </w:pPr>
    </w:p>
    <w:p w14:paraId="6E0505AD" w14:textId="77777777" w:rsidR="00D0416C" w:rsidRDefault="00D0416C" w:rsidP="00CB2046">
      <w:pPr>
        <w:pStyle w:val="NoSpacing"/>
        <w:rPr>
          <w:vanish/>
        </w:rPr>
      </w:pPr>
    </w:p>
    <w:p w14:paraId="51B7C039" w14:textId="77777777" w:rsidR="00D0416C" w:rsidRDefault="00D0416C" w:rsidP="00CB2046">
      <w:pPr>
        <w:pStyle w:val="NoSpacing"/>
        <w:rPr>
          <w:vanish/>
        </w:rPr>
      </w:pPr>
    </w:p>
    <w:p w14:paraId="115626A6" w14:textId="77777777" w:rsidR="00D0416C" w:rsidRDefault="00D0416C" w:rsidP="00CB2046">
      <w:pPr>
        <w:pStyle w:val="NoSpacing"/>
        <w:rPr>
          <w:vanish/>
        </w:rPr>
      </w:pPr>
    </w:p>
    <w:p w14:paraId="31155CE9" w14:textId="77777777" w:rsidR="00D0416C" w:rsidRDefault="00D0416C" w:rsidP="00CB2046">
      <w:pPr>
        <w:pStyle w:val="NoSpacing"/>
        <w:rPr>
          <w:vanish/>
        </w:rPr>
      </w:pPr>
    </w:p>
    <w:p w14:paraId="1B9A2FBD" w14:textId="77777777" w:rsidR="00D0416C" w:rsidRDefault="00D0416C" w:rsidP="00CB2046">
      <w:pPr>
        <w:pStyle w:val="NoSpacing"/>
        <w:rPr>
          <w:vanish/>
        </w:rPr>
      </w:pPr>
    </w:p>
    <w:p w14:paraId="05261804" w14:textId="77777777" w:rsidR="00D0416C" w:rsidRDefault="00D0416C" w:rsidP="00CB2046">
      <w:pPr>
        <w:pStyle w:val="NoSpacing"/>
        <w:rPr>
          <w:vanish/>
        </w:rPr>
      </w:pPr>
    </w:p>
    <w:p w14:paraId="21740754" w14:textId="77777777" w:rsidR="00D0416C" w:rsidRDefault="00D0416C" w:rsidP="00CB2046">
      <w:pPr>
        <w:pStyle w:val="NoSpacing"/>
        <w:rPr>
          <w:vanish/>
        </w:rPr>
      </w:pPr>
    </w:p>
    <w:p w14:paraId="7B49EBFE" w14:textId="77777777" w:rsidR="00D0416C" w:rsidRDefault="00D0416C" w:rsidP="00CB2046">
      <w:pPr>
        <w:pStyle w:val="NoSpacing"/>
        <w:rPr>
          <w:vanish/>
        </w:rPr>
      </w:pPr>
    </w:p>
    <w:p w14:paraId="5DEF5E3E" w14:textId="77777777" w:rsidR="00D0416C" w:rsidRDefault="00D0416C" w:rsidP="00CB2046">
      <w:pPr>
        <w:pStyle w:val="NoSpacing"/>
        <w:rPr>
          <w:vanish/>
        </w:rPr>
      </w:pPr>
    </w:p>
    <w:p w14:paraId="42FF4AD0" w14:textId="77777777" w:rsidR="00D0416C" w:rsidRDefault="00D0416C" w:rsidP="00CB2046">
      <w:pPr>
        <w:pStyle w:val="NoSpacing"/>
        <w:rPr>
          <w:vanish/>
        </w:rPr>
      </w:pPr>
    </w:p>
    <w:p w14:paraId="56E5E2AE" w14:textId="77777777" w:rsidR="00D0416C" w:rsidRDefault="00D0416C" w:rsidP="00CB2046">
      <w:pPr>
        <w:pStyle w:val="NoSpacing"/>
        <w:rPr>
          <w:vanish/>
        </w:rPr>
      </w:pPr>
    </w:p>
    <w:p w14:paraId="4C36143D" w14:textId="77777777" w:rsidR="00D0416C" w:rsidRDefault="00D0416C" w:rsidP="00CB2046">
      <w:pPr>
        <w:pStyle w:val="NoSpacing"/>
        <w:rPr>
          <w:vanish/>
        </w:rPr>
      </w:pPr>
    </w:p>
    <w:p w14:paraId="51B338A2" w14:textId="77777777" w:rsidR="00D0416C" w:rsidRDefault="00D0416C" w:rsidP="00CB2046">
      <w:pPr>
        <w:pStyle w:val="NoSpacing"/>
        <w:rPr>
          <w:vanish/>
        </w:rPr>
      </w:pPr>
    </w:p>
    <w:p w14:paraId="63907BD6" w14:textId="77777777" w:rsidR="00D0416C" w:rsidRDefault="00D0416C" w:rsidP="00CB2046">
      <w:pPr>
        <w:pStyle w:val="NoSpacing"/>
        <w:rPr>
          <w:vanish/>
        </w:rPr>
      </w:pPr>
    </w:p>
    <w:p w14:paraId="38EBAA8B" w14:textId="77777777" w:rsidR="00D0416C" w:rsidRDefault="00D0416C" w:rsidP="00CB2046">
      <w:pPr>
        <w:pStyle w:val="NoSpacing"/>
        <w:rPr>
          <w:vanish/>
        </w:rPr>
      </w:pPr>
    </w:p>
    <w:p w14:paraId="43FA5C41" w14:textId="77777777" w:rsidR="00D0416C" w:rsidRDefault="00D0416C" w:rsidP="00CB2046">
      <w:pPr>
        <w:pStyle w:val="NoSpacing"/>
        <w:rPr>
          <w:vanish/>
        </w:rPr>
      </w:pPr>
    </w:p>
    <w:p w14:paraId="76B20792" w14:textId="77777777" w:rsidR="00D0416C" w:rsidRDefault="00D0416C" w:rsidP="00CB2046">
      <w:pPr>
        <w:pStyle w:val="NoSpacing"/>
        <w:rPr>
          <w:vanish/>
        </w:rPr>
      </w:pPr>
    </w:p>
    <w:p w14:paraId="26D963B4" w14:textId="77777777" w:rsidR="00D0416C" w:rsidRDefault="00D0416C" w:rsidP="00CB2046">
      <w:pPr>
        <w:pStyle w:val="NoSpacing"/>
        <w:rPr>
          <w:vanish/>
        </w:rPr>
      </w:pPr>
    </w:p>
    <w:p w14:paraId="7CD2A703" w14:textId="77777777" w:rsidR="00D0416C" w:rsidRDefault="00D0416C" w:rsidP="00CB2046">
      <w:pPr>
        <w:pStyle w:val="NoSpacing"/>
        <w:rPr>
          <w:vanish/>
        </w:rPr>
      </w:pPr>
    </w:p>
    <w:p w14:paraId="385E07E4" w14:textId="156CD92D" w:rsidR="00D0416C" w:rsidRDefault="002B09DF" w:rsidP="00CB2046">
      <w:pPr>
        <w:keepNext/>
        <w:widowControl w:val="0"/>
        <w:ind w:firstLine="720"/>
        <w:jc w:val="both"/>
        <w:rPr>
          <w:b/>
          <w:color w:val="000000" w:themeColor="text1"/>
          <w:sz w:val="20"/>
          <w:szCs w:val="20"/>
        </w:rPr>
      </w:pPr>
      <w:r>
        <w:rPr>
          <w:rFonts w:asciiTheme="minorHAnsi" w:hAnsiTheme="minorHAnsi"/>
          <w:b/>
          <w:sz w:val="20"/>
          <w:szCs w:val="20"/>
        </w:rPr>
        <w:t xml:space="preserve">Table </w:t>
      </w:r>
      <w:r>
        <w:rPr>
          <w:rFonts w:asciiTheme="minorHAnsi" w:hAnsiTheme="minorHAnsi"/>
          <w:b/>
          <w:sz w:val="20"/>
          <w:szCs w:val="20"/>
        </w:rPr>
        <w:fldChar w:fldCharType="begin"/>
      </w:r>
      <w:r>
        <w:rPr>
          <w:rFonts w:asciiTheme="minorHAnsi" w:hAnsiTheme="minorHAnsi"/>
          <w:b/>
          <w:sz w:val="20"/>
          <w:szCs w:val="20"/>
        </w:rPr>
        <w:instrText xml:space="preserve"> SEQ Table \* ARABIC </w:instrText>
      </w:r>
      <w:r>
        <w:rPr>
          <w:rFonts w:asciiTheme="minorHAnsi" w:hAnsiTheme="minorHAnsi"/>
          <w:b/>
          <w:sz w:val="20"/>
          <w:szCs w:val="20"/>
        </w:rPr>
        <w:fldChar w:fldCharType="separate"/>
      </w:r>
      <w:r w:rsidR="00365EF1">
        <w:rPr>
          <w:rFonts w:asciiTheme="minorHAnsi" w:hAnsiTheme="minorHAnsi"/>
          <w:b/>
          <w:noProof/>
          <w:sz w:val="20"/>
          <w:szCs w:val="20"/>
        </w:rPr>
        <w:t>2</w:t>
      </w:r>
      <w:r>
        <w:rPr>
          <w:rFonts w:asciiTheme="minorHAnsi" w:hAnsiTheme="minorHAnsi"/>
          <w:b/>
          <w:sz w:val="20"/>
          <w:szCs w:val="20"/>
        </w:rPr>
        <w:fldChar w:fldCharType="end"/>
      </w:r>
      <w:r>
        <w:rPr>
          <w:rFonts w:asciiTheme="minorHAnsi" w:hAnsiTheme="minorHAnsi"/>
          <w:b/>
          <w:sz w:val="20"/>
          <w:szCs w:val="20"/>
        </w:rPr>
        <w:t xml:space="preserve"> – Table of assistance to racial and ethnic populations by </w:t>
      </w:r>
      <w:r w:rsidR="00D07211">
        <w:rPr>
          <w:rFonts w:asciiTheme="minorHAnsi" w:hAnsiTheme="minorHAnsi"/>
          <w:b/>
          <w:sz w:val="20"/>
          <w:szCs w:val="20"/>
        </w:rPr>
        <w:t xml:space="preserve">the </w:t>
      </w:r>
      <w:r>
        <w:rPr>
          <w:rFonts w:asciiTheme="minorHAnsi" w:hAnsiTheme="minorHAnsi"/>
          <w:b/>
          <w:sz w:val="20"/>
          <w:szCs w:val="20"/>
        </w:rPr>
        <w:t>source of funds</w:t>
      </w:r>
      <w:r>
        <w:rPr>
          <w:b/>
          <w:color w:val="000000" w:themeColor="text1"/>
          <w:sz w:val="20"/>
          <w:szCs w:val="20"/>
        </w:rPr>
        <w:t xml:space="preserve"> </w:t>
      </w:r>
    </w:p>
    <w:p w14:paraId="0A617B97" w14:textId="77777777" w:rsidR="00D0416C" w:rsidRDefault="002B09DF" w:rsidP="00CB2046">
      <w:pPr>
        <w:widowControl w:val="0"/>
        <w:jc w:val="both"/>
        <w:rPr>
          <w:b/>
          <w:sz w:val="24"/>
          <w:szCs w:val="24"/>
        </w:rPr>
      </w:pPr>
      <w:r>
        <w:rPr>
          <w:b/>
          <w:sz w:val="24"/>
          <w:szCs w:val="24"/>
        </w:rPr>
        <w:t>Narrative</w:t>
      </w:r>
    </w:p>
    <w:p w14:paraId="58CF0773" w14:textId="6C0DFEC0" w:rsidR="00E2768B" w:rsidRDefault="00E2768B" w:rsidP="00E2768B">
      <w:pPr>
        <w:widowControl w:val="0"/>
        <w:jc w:val="both"/>
        <w:rPr>
          <w:b/>
          <w:sz w:val="24"/>
          <w:szCs w:val="24"/>
        </w:rPr>
      </w:pPr>
      <w:r>
        <w:t xml:space="preserve">The table above lists the numbers of beneficiaries by race and ethnicity assisted with HUD-Funded programs in 2020. The numbers reported for ethnicity do not reflect the </w:t>
      </w:r>
      <w:r w:rsidR="00D07211">
        <w:t>exact</w:t>
      </w:r>
      <w:r>
        <w:t xml:space="preserve"> count as the total number reported by race. The variances could be attributed to the refusal of information, errors at intake or unwillingness to share information about ethnicity and race.</w:t>
      </w:r>
    </w:p>
    <w:p w14:paraId="195DBE71" w14:textId="77777777" w:rsidR="00D0416C" w:rsidRDefault="00D0416C" w:rsidP="00CB2046">
      <w:pPr>
        <w:jc w:val="both"/>
        <w:sectPr w:rsidR="00D0416C" w:rsidSect="00365EF1">
          <w:pgSz w:w="12240" w:h="15840" w:code="1"/>
          <w:pgMar w:top="1440" w:right="1440" w:bottom="1440" w:left="1440" w:header="720" w:footer="720" w:gutter="0"/>
          <w:cols w:space="720"/>
          <w:docGrid w:linePitch="360"/>
        </w:sectPr>
      </w:pPr>
    </w:p>
    <w:p w14:paraId="3C5FAB99" w14:textId="77777777" w:rsidR="00D0416C" w:rsidRPr="00D07211" w:rsidRDefault="002B09DF" w:rsidP="00D07211">
      <w:pPr>
        <w:pStyle w:val="Heading2"/>
        <w:shd w:val="clear" w:color="auto" w:fill="1F497D" w:themeFill="text2"/>
        <w:jc w:val="both"/>
        <w:rPr>
          <w:rFonts w:ascii="Calibri" w:hAnsi="Calibri"/>
          <w:i w:val="0"/>
          <w:color w:val="FFFFFF" w:themeColor="background1"/>
        </w:rPr>
      </w:pPr>
      <w:bookmarkStart w:id="6" w:name="_Toc86152492"/>
      <w:bookmarkEnd w:id="5"/>
      <w:r w:rsidRPr="00D07211">
        <w:rPr>
          <w:rFonts w:ascii="Calibri" w:hAnsi="Calibri"/>
          <w:i w:val="0"/>
          <w:color w:val="FFFFFF" w:themeColor="background1"/>
        </w:rPr>
        <w:lastRenderedPageBreak/>
        <w:t>CR-15 - Resources and Investments 91.520(a)</w:t>
      </w:r>
      <w:bookmarkEnd w:id="6"/>
    </w:p>
    <w:p w14:paraId="3D46EF6A" w14:textId="77777777" w:rsidR="00D0416C" w:rsidRDefault="002B09DF" w:rsidP="00CB2046">
      <w:pPr>
        <w:keepNext/>
        <w:widowControl w:val="0"/>
        <w:spacing w:after="0" w:line="240" w:lineRule="auto"/>
        <w:jc w:val="both"/>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30"/>
        <w:gridCol w:w="2342"/>
        <w:gridCol w:w="2350"/>
      </w:tblGrid>
      <w:tr w:rsidR="00D0416C" w14:paraId="228E0AC4" w14:textId="77777777" w:rsidTr="00D07211">
        <w:trPr>
          <w:cantSplit/>
        </w:trPr>
        <w:tc>
          <w:tcPr>
            <w:tcW w:w="2394" w:type="dxa"/>
            <w:shd w:val="clear" w:color="auto" w:fill="BFBFBF" w:themeFill="background1" w:themeFillShade="BF"/>
          </w:tcPr>
          <w:p w14:paraId="655B7F63" w14:textId="77777777" w:rsidR="00D0416C" w:rsidRDefault="002B09DF" w:rsidP="00CB2046">
            <w:pPr>
              <w:keepNext/>
              <w:widowControl w:val="0"/>
              <w:spacing w:after="0" w:line="240" w:lineRule="auto"/>
              <w:jc w:val="center"/>
              <w:rPr>
                <w:rFonts w:cs="Arial"/>
                <w:b/>
              </w:rPr>
            </w:pPr>
            <w:r>
              <w:rPr>
                <w:rFonts w:cs="Arial"/>
                <w:b/>
              </w:rPr>
              <w:t>Source of Funds</w:t>
            </w:r>
          </w:p>
        </w:tc>
        <w:tc>
          <w:tcPr>
            <w:tcW w:w="2394" w:type="dxa"/>
            <w:shd w:val="clear" w:color="auto" w:fill="BFBFBF" w:themeFill="background1" w:themeFillShade="BF"/>
          </w:tcPr>
          <w:p w14:paraId="0232D68E" w14:textId="77777777" w:rsidR="00D0416C" w:rsidRDefault="002B09DF" w:rsidP="00CB2046">
            <w:pPr>
              <w:keepNext/>
              <w:widowControl w:val="0"/>
              <w:spacing w:after="0" w:line="240" w:lineRule="auto"/>
              <w:jc w:val="center"/>
              <w:rPr>
                <w:rFonts w:cs="Arial"/>
                <w:b/>
              </w:rPr>
            </w:pPr>
            <w:r>
              <w:rPr>
                <w:rFonts w:cs="Arial"/>
                <w:b/>
              </w:rPr>
              <w:t>Source</w:t>
            </w:r>
          </w:p>
        </w:tc>
        <w:tc>
          <w:tcPr>
            <w:tcW w:w="2394" w:type="dxa"/>
            <w:shd w:val="clear" w:color="auto" w:fill="BFBFBF" w:themeFill="background1" w:themeFillShade="BF"/>
          </w:tcPr>
          <w:p w14:paraId="735DB40A" w14:textId="77777777" w:rsidR="00D0416C" w:rsidRDefault="002B09DF" w:rsidP="00CB2046">
            <w:pPr>
              <w:keepNext/>
              <w:spacing w:after="0" w:line="240" w:lineRule="auto"/>
              <w:jc w:val="center"/>
              <w:rPr>
                <w:rFonts w:cs="Arial"/>
                <w:b/>
              </w:rPr>
            </w:pPr>
            <w:r>
              <w:rPr>
                <w:rFonts w:cs="Arial"/>
                <w:b/>
              </w:rPr>
              <w:t>Resources Made Available</w:t>
            </w:r>
          </w:p>
        </w:tc>
        <w:tc>
          <w:tcPr>
            <w:tcW w:w="2394" w:type="dxa"/>
            <w:shd w:val="clear" w:color="auto" w:fill="BFBFBF" w:themeFill="background1" w:themeFillShade="BF"/>
          </w:tcPr>
          <w:p w14:paraId="6CD0D526" w14:textId="77777777" w:rsidR="00D0416C" w:rsidRDefault="002B09DF" w:rsidP="00CB2046">
            <w:pPr>
              <w:keepNext/>
              <w:widowControl w:val="0"/>
              <w:spacing w:after="0" w:line="240" w:lineRule="auto"/>
              <w:jc w:val="center"/>
              <w:rPr>
                <w:rFonts w:cs="Arial"/>
                <w:b/>
              </w:rPr>
            </w:pPr>
            <w:r>
              <w:rPr>
                <w:rFonts w:cs="Arial"/>
                <w:b/>
              </w:rPr>
              <w:t>Amount Expended During Program Year</w:t>
            </w:r>
          </w:p>
        </w:tc>
      </w:tr>
      <w:tr w:rsidR="00D0416C" w14:paraId="08E51D85" w14:textId="77777777" w:rsidTr="000F3E03">
        <w:trPr>
          <w:cantSplit/>
        </w:trPr>
        <w:tc>
          <w:tcPr>
            <w:tcW w:w="0" w:type="auto"/>
            <w:vAlign w:val="center"/>
          </w:tcPr>
          <w:p w14:paraId="3E3FD3B3" w14:textId="77777777" w:rsidR="00D0416C" w:rsidRDefault="002B09DF" w:rsidP="000F3E03">
            <w:pPr>
              <w:spacing w:beforeAutospacing="1" w:afterAutospacing="1"/>
              <w:jc w:val="center"/>
            </w:pPr>
            <w:r>
              <w:rPr>
                <w:color w:val="000000"/>
              </w:rPr>
              <w:t>CDBG</w:t>
            </w:r>
          </w:p>
        </w:tc>
        <w:tc>
          <w:tcPr>
            <w:tcW w:w="0" w:type="auto"/>
            <w:vAlign w:val="center"/>
          </w:tcPr>
          <w:p w14:paraId="31A95358" w14:textId="77777777" w:rsidR="00D0416C" w:rsidRDefault="002B09DF" w:rsidP="000F3E03">
            <w:pPr>
              <w:spacing w:beforeAutospacing="1" w:afterAutospacing="1"/>
              <w:jc w:val="center"/>
            </w:pPr>
            <w:r>
              <w:rPr>
                <w:color w:val="000000"/>
              </w:rPr>
              <w:t xml:space="preserve">public </w:t>
            </w:r>
            <w:r w:rsidR="000F3E03">
              <w:rPr>
                <w:color w:val="000000"/>
              </w:rPr>
              <w:t>–</w:t>
            </w:r>
            <w:r>
              <w:rPr>
                <w:color w:val="000000"/>
              </w:rPr>
              <w:t xml:space="preserve"> federal</w:t>
            </w:r>
          </w:p>
        </w:tc>
        <w:tc>
          <w:tcPr>
            <w:tcW w:w="0" w:type="auto"/>
            <w:vAlign w:val="center"/>
          </w:tcPr>
          <w:p w14:paraId="47EF1E3A" w14:textId="77777777" w:rsidR="00D0416C" w:rsidRDefault="002B09DF" w:rsidP="000F3E03">
            <w:pPr>
              <w:spacing w:beforeAutospacing="1" w:afterAutospacing="1"/>
              <w:jc w:val="center"/>
            </w:pPr>
            <w:r>
              <w:rPr>
                <w:color w:val="000000"/>
              </w:rPr>
              <w:t>564,099</w:t>
            </w:r>
          </w:p>
        </w:tc>
        <w:tc>
          <w:tcPr>
            <w:tcW w:w="0" w:type="auto"/>
            <w:vAlign w:val="center"/>
          </w:tcPr>
          <w:p w14:paraId="3B6766F2" w14:textId="77777777" w:rsidR="00D0416C" w:rsidRPr="000F3E03" w:rsidRDefault="000F3E03" w:rsidP="000F3E03">
            <w:pPr>
              <w:jc w:val="center"/>
            </w:pPr>
            <w:r w:rsidRPr="000F3E03">
              <w:rPr>
                <w:color w:val="000000"/>
                <w:sz w:val="20"/>
                <w:szCs w:val="20"/>
              </w:rPr>
              <w:t>$</w:t>
            </w:r>
            <w:r w:rsidRPr="000F3E03">
              <w:rPr>
                <w:rFonts w:asciiTheme="minorHAnsi" w:hAnsiTheme="minorHAnsi" w:cstheme="minorHAnsi"/>
              </w:rPr>
              <w:t>469,742.96</w:t>
            </w:r>
          </w:p>
        </w:tc>
      </w:tr>
      <w:tr w:rsidR="00D0416C" w14:paraId="67EF8A74" w14:textId="77777777" w:rsidTr="000F3E03">
        <w:trPr>
          <w:cantSplit/>
        </w:trPr>
        <w:tc>
          <w:tcPr>
            <w:tcW w:w="0" w:type="auto"/>
            <w:vAlign w:val="center"/>
          </w:tcPr>
          <w:p w14:paraId="58AA355B" w14:textId="77777777" w:rsidR="00D0416C" w:rsidRDefault="002B09DF" w:rsidP="000F3E03">
            <w:pPr>
              <w:spacing w:beforeAutospacing="1" w:afterAutospacing="1"/>
              <w:jc w:val="center"/>
            </w:pPr>
            <w:r>
              <w:rPr>
                <w:color w:val="000000"/>
              </w:rPr>
              <w:t>HOME</w:t>
            </w:r>
          </w:p>
        </w:tc>
        <w:tc>
          <w:tcPr>
            <w:tcW w:w="0" w:type="auto"/>
            <w:vAlign w:val="center"/>
          </w:tcPr>
          <w:p w14:paraId="14CDCD30" w14:textId="77777777" w:rsidR="00D0416C" w:rsidRDefault="002B09DF" w:rsidP="000F3E03">
            <w:pPr>
              <w:spacing w:beforeAutospacing="1" w:afterAutospacing="1"/>
              <w:jc w:val="center"/>
            </w:pPr>
            <w:r>
              <w:rPr>
                <w:color w:val="000000"/>
              </w:rPr>
              <w:t xml:space="preserve">public </w:t>
            </w:r>
            <w:r w:rsidR="000F3E03">
              <w:rPr>
                <w:color w:val="000000"/>
              </w:rPr>
              <w:t>–</w:t>
            </w:r>
            <w:r>
              <w:rPr>
                <w:color w:val="000000"/>
              </w:rPr>
              <w:t xml:space="preserve"> federal</w:t>
            </w:r>
          </w:p>
        </w:tc>
        <w:tc>
          <w:tcPr>
            <w:tcW w:w="0" w:type="auto"/>
            <w:vAlign w:val="center"/>
          </w:tcPr>
          <w:p w14:paraId="364557D8" w14:textId="77777777" w:rsidR="00D0416C" w:rsidRDefault="002B09DF" w:rsidP="000F3E03">
            <w:pPr>
              <w:spacing w:beforeAutospacing="1" w:afterAutospacing="1"/>
              <w:jc w:val="center"/>
            </w:pPr>
            <w:r>
              <w:rPr>
                <w:color w:val="000000"/>
              </w:rPr>
              <w:t>434,026</w:t>
            </w:r>
          </w:p>
        </w:tc>
        <w:tc>
          <w:tcPr>
            <w:tcW w:w="0" w:type="auto"/>
            <w:vAlign w:val="center"/>
          </w:tcPr>
          <w:p w14:paraId="1D47D628" w14:textId="77777777" w:rsidR="00D0416C" w:rsidRDefault="000F3E03" w:rsidP="000F3E03">
            <w:pPr>
              <w:spacing w:beforeAutospacing="1" w:afterAutospacing="1"/>
              <w:jc w:val="center"/>
            </w:pPr>
            <w:r>
              <w:t>$749,169.44</w:t>
            </w:r>
          </w:p>
        </w:tc>
      </w:tr>
    </w:tbl>
    <w:p w14:paraId="6B9F80BE" w14:textId="77777777" w:rsidR="00D0416C" w:rsidRDefault="002B09DF" w:rsidP="00CB2046">
      <w:pPr>
        <w:pStyle w:val="Caption"/>
        <w:jc w:val="both"/>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65EF1">
        <w:rPr>
          <w:rFonts w:asciiTheme="minorHAnsi" w:hAnsiTheme="minorHAnsi"/>
          <w:noProof/>
        </w:rPr>
        <w:t>3</w:t>
      </w:r>
      <w:r>
        <w:rPr>
          <w:rFonts w:asciiTheme="minorHAnsi" w:hAnsiTheme="minorHAnsi"/>
        </w:rPr>
        <w:fldChar w:fldCharType="end"/>
      </w:r>
      <w:r>
        <w:rPr>
          <w:rFonts w:asciiTheme="minorHAnsi" w:hAnsiTheme="minorHAnsi"/>
        </w:rPr>
        <w:t xml:space="preserve"> - Resources Made Available</w:t>
      </w:r>
    </w:p>
    <w:p w14:paraId="611AFBD9" w14:textId="77777777" w:rsidR="00D0416C" w:rsidRDefault="00D0416C" w:rsidP="00CB2046">
      <w:pPr>
        <w:spacing w:after="0" w:line="240" w:lineRule="auto"/>
        <w:jc w:val="both"/>
        <w:rPr>
          <w:b/>
          <w:sz w:val="24"/>
          <w:szCs w:val="24"/>
        </w:rPr>
      </w:pPr>
    </w:p>
    <w:p w14:paraId="633C935D" w14:textId="77777777" w:rsidR="00D0416C" w:rsidRPr="0035148E" w:rsidRDefault="002B09DF" w:rsidP="00CB2046">
      <w:pPr>
        <w:spacing w:after="0" w:line="240" w:lineRule="auto"/>
        <w:jc w:val="both"/>
        <w:rPr>
          <w:rFonts w:asciiTheme="minorHAnsi" w:hAnsiTheme="minorHAnsi" w:cstheme="minorHAnsi"/>
          <w:b/>
          <w:sz w:val="23"/>
          <w:szCs w:val="23"/>
        </w:rPr>
      </w:pPr>
      <w:r w:rsidRPr="0035148E">
        <w:rPr>
          <w:rFonts w:asciiTheme="minorHAnsi" w:hAnsiTheme="minorHAnsi" w:cstheme="minorHAnsi"/>
          <w:b/>
          <w:sz w:val="23"/>
          <w:szCs w:val="23"/>
        </w:rPr>
        <w:t>Narrative</w:t>
      </w:r>
    </w:p>
    <w:p w14:paraId="25EE4754" w14:textId="10402311" w:rsidR="0035148E" w:rsidRPr="0035148E" w:rsidRDefault="0035148E" w:rsidP="0035148E">
      <w:pPr>
        <w:spacing w:after="0"/>
        <w:jc w:val="both"/>
        <w:rPr>
          <w:rFonts w:asciiTheme="minorHAnsi" w:hAnsiTheme="minorHAnsi" w:cstheme="minorHAnsi"/>
          <w:sz w:val="23"/>
          <w:szCs w:val="23"/>
        </w:rPr>
      </w:pPr>
      <w:r w:rsidRPr="0035148E">
        <w:rPr>
          <w:rFonts w:asciiTheme="minorHAnsi" w:hAnsiTheme="minorHAnsi" w:cstheme="minorHAnsi"/>
          <w:sz w:val="23"/>
          <w:szCs w:val="23"/>
        </w:rPr>
        <w:t xml:space="preserve">The City of </w:t>
      </w:r>
      <w:r w:rsidR="00D07211">
        <w:rPr>
          <w:rFonts w:asciiTheme="minorHAnsi" w:hAnsiTheme="minorHAnsi" w:cstheme="minorHAnsi"/>
          <w:sz w:val="23"/>
          <w:szCs w:val="23"/>
        </w:rPr>
        <w:t>Anniston</w:t>
      </w:r>
      <w:r w:rsidRPr="0035148E">
        <w:rPr>
          <w:rFonts w:asciiTheme="minorHAnsi" w:hAnsiTheme="minorHAnsi" w:cstheme="minorHAnsi"/>
          <w:sz w:val="23"/>
          <w:szCs w:val="23"/>
        </w:rPr>
        <w:t xml:space="preserve"> received </w:t>
      </w:r>
      <w:r w:rsidRPr="0035148E">
        <w:rPr>
          <w:rFonts w:asciiTheme="minorHAnsi" w:hAnsiTheme="minorHAnsi" w:cstheme="minorHAnsi"/>
          <w:b/>
          <w:sz w:val="23"/>
          <w:szCs w:val="23"/>
        </w:rPr>
        <w:t xml:space="preserve">$564,099.00 </w:t>
      </w:r>
      <w:r w:rsidRPr="0035148E">
        <w:rPr>
          <w:rFonts w:asciiTheme="minorHAnsi" w:hAnsiTheme="minorHAnsi" w:cstheme="minorHAnsi"/>
          <w:sz w:val="23"/>
          <w:szCs w:val="23"/>
        </w:rPr>
        <w:t xml:space="preserve">in CDBG funding for 2020 and </w:t>
      </w:r>
      <w:r w:rsidRPr="0035148E">
        <w:rPr>
          <w:rFonts w:asciiTheme="minorHAnsi" w:hAnsiTheme="minorHAnsi" w:cstheme="minorHAnsi"/>
          <w:b/>
          <w:sz w:val="23"/>
          <w:szCs w:val="23"/>
        </w:rPr>
        <w:t>$434,026.00</w:t>
      </w:r>
      <w:r w:rsidRPr="0035148E">
        <w:rPr>
          <w:rFonts w:asciiTheme="minorHAnsi" w:hAnsiTheme="minorHAnsi" w:cstheme="minorHAnsi"/>
          <w:sz w:val="23"/>
          <w:szCs w:val="23"/>
        </w:rPr>
        <w:t xml:space="preserve"> in HOME funding. The amounts in Table 3 </w:t>
      </w:r>
      <w:r w:rsidR="00D07211">
        <w:rPr>
          <w:rFonts w:asciiTheme="minorHAnsi" w:hAnsiTheme="minorHAnsi" w:cstheme="minorHAnsi"/>
          <w:sz w:val="23"/>
          <w:szCs w:val="23"/>
        </w:rPr>
        <w:t>reflect</w:t>
      </w:r>
      <w:r w:rsidRPr="0035148E">
        <w:rPr>
          <w:rFonts w:asciiTheme="minorHAnsi" w:hAnsiTheme="minorHAnsi" w:cstheme="minorHAnsi"/>
          <w:sz w:val="23"/>
          <w:szCs w:val="23"/>
        </w:rPr>
        <w:t xml:space="preserve"> the amount of funding available for CDBG and HOME in 2020.</w:t>
      </w:r>
    </w:p>
    <w:p w14:paraId="4133349D" w14:textId="77777777" w:rsidR="0035148E" w:rsidRPr="0035148E" w:rsidRDefault="0035148E" w:rsidP="0035148E">
      <w:pPr>
        <w:spacing w:after="0"/>
        <w:jc w:val="both"/>
        <w:rPr>
          <w:rFonts w:asciiTheme="minorHAnsi" w:hAnsiTheme="minorHAnsi" w:cstheme="minorHAnsi"/>
          <w:b/>
          <w:sz w:val="23"/>
          <w:szCs w:val="23"/>
        </w:rPr>
      </w:pPr>
    </w:p>
    <w:p w14:paraId="64762F5E" w14:textId="77777777" w:rsidR="0035148E" w:rsidRPr="0035148E" w:rsidRDefault="0035148E" w:rsidP="0035148E">
      <w:pPr>
        <w:spacing w:after="0"/>
        <w:jc w:val="both"/>
        <w:rPr>
          <w:rFonts w:asciiTheme="minorHAnsi" w:hAnsiTheme="minorHAnsi" w:cstheme="minorHAnsi"/>
          <w:b/>
          <w:sz w:val="23"/>
          <w:szCs w:val="23"/>
        </w:rPr>
      </w:pPr>
      <w:r w:rsidRPr="0035148E">
        <w:rPr>
          <w:rFonts w:asciiTheme="minorHAnsi" w:hAnsiTheme="minorHAnsi" w:cstheme="minorHAnsi"/>
          <w:b/>
          <w:sz w:val="23"/>
          <w:szCs w:val="23"/>
        </w:rPr>
        <w:t>Expenditure of Program Funds</w:t>
      </w:r>
    </w:p>
    <w:p w14:paraId="25041C2A" w14:textId="77777777" w:rsidR="0035148E" w:rsidRPr="0035148E" w:rsidRDefault="0035148E" w:rsidP="0035148E">
      <w:pPr>
        <w:pStyle w:val="ListParagraph"/>
        <w:numPr>
          <w:ilvl w:val="0"/>
          <w:numId w:val="19"/>
        </w:numPr>
        <w:spacing w:after="0"/>
        <w:jc w:val="both"/>
        <w:rPr>
          <w:rFonts w:cstheme="minorHAnsi"/>
          <w:sz w:val="23"/>
          <w:szCs w:val="23"/>
        </w:rPr>
      </w:pPr>
      <w:r w:rsidRPr="0035148E">
        <w:rPr>
          <w:rFonts w:cstheme="minorHAnsi"/>
          <w:sz w:val="23"/>
          <w:szCs w:val="23"/>
        </w:rPr>
        <w:t xml:space="preserve">CDBG IDIS Report PR26: </w:t>
      </w:r>
      <w:r w:rsidRPr="0035148E">
        <w:rPr>
          <w:rFonts w:cstheme="minorHAnsi"/>
          <w:color w:val="000000"/>
          <w:sz w:val="23"/>
          <w:szCs w:val="23"/>
        </w:rPr>
        <w:t>$</w:t>
      </w:r>
      <w:r w:rsidRPr="0035148E">
        <w:rPr>
          <w:rFonts w:cstheme="minorHAnsi"/>
          <w:sz w:val="23"/>
          <w:szCs w:val="23"/>
        </w:rPr>
        <w:t xml:space="preserve">469,742.96 in CDBG funds was expended in 2020. </w:t>
      </w:r>
    </w:p>
    <w:p w14:paraId="29B94A21" w14:textId="078E0A10" w:rsidR="0035148E" w:rsidRPr="0035148E" w:rsidRDefault="0035148E" w:rsidP="0035148E">
      <w:pPr>
        <w:pStyle w:val="ListParagraph"/>
        <w:numPr>
          <w:ilvl w:val="0"/>
          <w:numId w:val="19"/>
        </w:numPr>
        <w:spacing w:after="0"/>
        <w:jc w:val="both"/>
        <w:rPr>
          <w:rFonts w:cstheme="minorHAnsi"/>
          <w:sz w:val="23"/>
          <w:szCs w:val="23"/>
        </w:rPr>
      </w:pPr>
      <w:r w:rsidRPr="0035148E">
        <w:rPr>
          <w:rFonts w:cstheme="minorHAnsi"/>
          <w:sz w:val="23"/>
          <w:szCs w:val="23"/>
        </w:rPr>
        <w:t>HOME IDIS Report PR23: $749,169.44 in HOME funds was expended in 2020.</w:t>
      </w:r>
    </w:p>
    <w:p w14:paraId="445DA9C8" w14:textId="77777777" w:rsidR="0035148E" w:rsidRPr="0035148E" w:rsidRDefault="0035148E" w:rsidP="0035148E">
      <w:pPr>
        <w:pStyle w:val="ListParagraph"/>
        <w:numPr>
          <w:ilvl w:val="0"/>
          <w:numId w:val="19"/>
        </w:numPr>
        <w:spacing w:after="0"/>
        <w:jc w:val="both"/>
        <w:rPr>
          <w:rFonts w:cstheme="minorHAnsi"/>
          <w:sz w:val="23"/>
          <w:szCs w:val="23"/>
        </w:rPr>
      </w:pPr>
      <w:r w:rsidRPr="0035148E">
        <w:rPr>
          <w:rFonts w:cstheme="minorHAnsi"/>
          <w:sz w:val="23"/>
          <w:szCs w:val="23"/>
        </w:rPr>
        <w:t>IDIS Report PR56: 1.48 Expenditure Ratio in 2020.</w:t>
      </w:r>
    </w:p>
    <w:p w14:paraId="584736AB" w14:textId="77777777" w:rsidR="000F3E03" w:rsidRDefault="000F3E03" w:rsidP="00CB2046">
      <w:pPr>
        <w:spacing w:after="0" w:line="240" w:lineRule="auto"/>
        <w:jc w:val="both"/>
        <w:rPr>
          <w:b/>
          <w:sz w:val="24"/>
          <w:szCs w:val="24"/>
        </w:rPr>
      </w:pPr>
    </w:p>
    <w:p w14:paraId="3F09363B" w14:textId="77777777" w:rsidR="00D0416C" w:rsidRDefault="002B09DF" w:rsidP="00CB2046">
      <w:pPr>
        <w:keepNext/>
        <w:spacing w:after="0" w:line="240" w:lineRule="auto"/>
        <w:jc w:val="center"/>
        <w:rPr>
          <w:b/>
          <w:sz w:val="24"/>
          <w:szCs w:val="24"/>
        </w:rPr>
      </w:pPr>
      <w:r>
        <w:rPr>
          <w:b/>
          <w:sz w:val="24"/>
          <w:szCs w:val="24"/>
        </w:rPr>
        <w:lastRenderedPageBreak/>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107"/>
        <w:gridCol w:w="2107"/>
        <w:gridCol w:w="2689"/>
      </w:tblGrid>
      <w:tr w:rsidR="00D0416C" w14:paraId="66F561F2" w14:textId="77777777" w:rsidTr="00D07211">
        <w:trPr>
          <w:cantSplit/>
        </w:trPr>
        <w:tc>
          <w:tcPr>
            <w:tcW w:w="2394" w:type="dxa"/>
            <w:shd w:val="clear" w:color="auto" w:fill="BFBFBF" w:themeFill="background1" w:themeFillShade="BF"/>
          </w:tcPr>
          <w:p w14:paraId="5F7255CA" w14:textId="77777777" w:rsidR="00D0416C" w:rsidRDefault="002B09DF" w:rsidP="00CB2046">
            <w:pPr>
              <w:keepNext/>
              <w:widowControl w:val="0"/>
              <w:spacing w:after="0" w:line="240" w:lineRule="auto"/>
              <w:jc w:val="center"/>
              <w:rPr>
                <w:rFonts w:cs="Arial"/>
                <w:b/>
              </w:rPr>
            </w:pPr>
            <w:r>
              <w:rPr>
                <w:rFonts w:cs="Arial"/>
                <w:b/>
              </w:rPr>
              <w:t>Target Area</w:t>
            </w:r>
          </w:p>
        </w:tc>
        <w:tc>
          <w:tcPr>
            <w:tcW w:w="2394" w:type="dxa"/>
            <w:shd w:val="clear" w:color="auto" w:fill="BFBFBF" w:themeFill="background1" w:themeFillShade="BF"/>
          </w:tcPr>
          <w:p w14:paraId="405216DA" w14:textId="77777777" w:rsidR="00D0416C" w:rsidRDefault="002B09DF" w:rsidP="00CB2046">
            <w:pPr>
              <w:keepNext/>
              <w:widowControl w:val="0"/>
              <w:spacing w:after="0" w:line="240" w:lineRule="auto"/>
              <w:jc w:val="center"/>
              <w:rPr>
                <w:rFonts w:cs="Arial"/>
                <w:b/>
              </w:rPr>
            </w:pPr>
            <w:r>
              <w:rPr>
                <w:rFonts w:cs="Arial"/>
                <w:b/>
              </w:rPr>
              <w:t>Planned Percentage of Allocation</w:t>
            </w:r>
          </w:p>
        </w:tc>
        <w:tc>
          <w:tcPr>
            <w:tcW w:w="2394" w:type="dxa"/>
            <w:shd w:val="clear" w:color="auto" w:fill="BFBFBF" w:themeFill="background1" w:themeFillShade="BF"/>
          </w:tcPr>
          <w:p w14:paraId="28437553" w14:textId="77777777" w:rsidR="00D0416C" w:rsidRDefault="002B09DF" w:rsidP="00CB2046">
            <w:pPr>
              <w:keepNext/>
              <w:spacing w:after="0" w:line="240" w:lineRule="auto"/>
              <w:jc w:val="center"/>
              <w:rPr>
                <w:rFonts w:cs="Arial"/>
                <w:b/>
              </w:rPr>
            </w:pPr>
            <w:r>
              <w:rPr>
                <w:rFonts w:cs="Arial"/>
                <w:b/>
              </w:rPr>
              <w:t>Actual Percentage of Allocation</w:t>
            </w:r>
          </w:p>
        </w:tc>
        <w:tc>
          <w:tcPr>
            <w:tcW w:w="2394" w:type="dxa"/>
            <w:shd w:val="clear" w:color="auto" w:fill="BFBFBF" w:themeFill="background1" w:themeFillShade="BF"/>
          </w:tcPr>
          <w:p w14:paraId="3EF8B99C" w14:textId="77777777" w:rsidR="00D0416C" w:rsidRDefault="002B09DF" w:rsidP="00CB2046">
            <w:pPr>
              <w:keepNext/>
              <w:widowControl w:val="0"/>
              <w:spacing w:after="0" w:line="240" w:lineRule="auto"/>
              <w:jc w:val="center"/>
              <w:rPr>
                <w:rFonts w:cs="Arial"/>
                <w:b/>
              </w:rPr>
            </w:pPr>
            <w:r>
              <w:rPr>
                <w:rFonts w:cs="Arial"/>
                <w:b/>
              </w:rPr>
              <w:t>Narrative Description</w:t>
            </w:r>
          </w:p>
        </w:tc>
      </w:tr>
      <w:tr w:rsidR="00D0416C" w14:paraId="4A351737" w14:textId="77777777" w:rsidTr="0035148E">
        <w:trPr>
          <w:cantSplit/>
        </w:trPr>
        <w:tc>
          <w:tcPr>
            <w:tcW w:w="0" w:type="auto"/>
            <w:vAlign w:val="center"/>
          </w:tcPr>
          <w:p w14:paraId="6EBB7DAB" w14:textId="77777777" w:rsidR="00D0416C" w:rsidRDefault="002B09DF" w:rsidP="0035148E">
            <w:pPr>
              <w:spacing w:beforeAutospacing="1" w:afterAutospacing="1"/>
              <w:jc w:val="center"/>
            </w:pPr>
            <w:r>
              <w:rPr>
                <w:color w:val="000000"/>
              </w:rPr>
              <w:t>West Anniston Revitalization</w:t>
            </w:r>
          </w:p>
        </w:tc>
        <w:tc>
          <w:tcPr>
            <w:tcW w:w="0" w:type="auto"/>
            <w:vAlign w:val="center"/>
          </w:tcPr>
          <w:p w14:paraId="29D0F385" w14:textId="77777777" w:rsidR="00D0416C" w:rsidRDefault="000F3E03" w:rsidP="0035148E">
            <w:pPr>
              <w:spacing w:beforeAutospacing="1" w:afterAutospacing="1"/>
              <w:jc w:val="center"/>
            </w:pPr>
            <w:r>
              <w:rPr>
                <w:color w:val="000000"/>
              </w:rPr>
              <w:t>0%</w:t>
            </w:r>
          </w:p>
        </w:tc>
        <w:tc>
          <w:tcPr>
            <w:tcW w:w="0" w:type="auto"/>
            <w:vAlign w:val="center"/>
          </w:tcPr>
          <w:p w14:paraId="501B0C75" w14:textId="77777777" w:rsidR="00D0416C" w:rsidRDefault="000F3E03" w:rsidP="0035148E">
            <w:pPr>
              <w:spacing w:beforeAutospacing="1" w:afterAutospacing="1"/>
              <w:jc w:val="center"/>
            </w:pPr>
            <w:r>
              <w:rPr>
                <w:color w:val="000000"/>
              </w:rPr>
              <w:t>0%</w:t>
            </w:r>
          </w:p>
        </w:tc>
        <w:tc>
          <w:tcPr>
            <w:tcW w:w="0" w:type="auto"/>
            <w:vAlign w:val="center"/>
          </w:tcPr>
          <w:p w14:paraId="38B9C7DC" w14:textId="1E819587" w:rsidR="00D0416C" w:rsidRDefault="000F3E03" w:rsidP="0035148E">
            <w:pPr>
              <w:spacing w:beforeAutospacing="1" w:afterAutospacing="1"/>
              <w:jc w:val="center"/>
            </w:pPr>
            <w:r>
              <w:rPr>
                <w:color w:val="000000"/>
              </w:rPr>
              <w:t xml:space="preserve">No funds </w:t>
            </w:r>
            <w:r w:rsidR="00D07211">
              <w:rPr>
                <w:color w:val="000000"/>
              </w:rPr>
              <w:t xml:space="preserve">were </w:t>
            </w:r>
            <w:r>
              <w:rPr>
                <w:color w:val="000000"/>
              </w:rPr>
              <w:t>allocated in 2020.</w:t>
            </w:r>
          </w:p>
        </w:tc>
      </w:tr>
    </w:tbl>
    <w:p w14:paraId="71C88014" w14:textId="77777777" w:rsidR="00D0416C" w:rsidRDefault="002B09DF" w:rsidP="00CB2046">
      <w:pPr>
        <w:pStyle w:val="Caption"/>
        <w:jc w:val="both"/>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65EF1">
        <w:rPr>
          <w:rFonts w:asciiTheme="minorHAnsi" w:hAnsiTheme="minorHAnsi"/>
          <w:noProof/>
        </w:rPr>
        <w:t>4</w:t>
      </w:r>
      <w:r>
        <w:rPr>
          <w:rFonts w:asciiTheme="minorHAnsi" w:hAnsiTheme="minorHAnsi"/>
        </w:rPr>
        <w:fldChar w:fldCharType="end"/>
      </w:r>
      <w:r>
        <w:rPr>
          <w:rFonts w:asciiTheme="minorHAnsi" w:hAnsiTheme="minorHAnsi"/>
        </w:rPr>
        <w:t xml:space="preserve"> – Identify the geographic distribution and location of investments</w:t>
      </w:r>
    </w:p>
    <w:p w14:paraId="33E67D12" w14:textId="77777777" w:rsidR="00D0416C" w:rsidRDefault="00D0416C" w:rsidP="00CB2046">
      <w:pPr>
        <w:keepNext/>
        <w:widowControl w:val="0"/>
        <w:spacing w:line="204" w:lineRule="auto"/>
        <w:jc w:val="both"/>
        <w:rPr>
          <w:b/>
          <w:sz w:val="24"/>
          <w:szCs w:val="24"/>
        </w:rPr>
      </w:pPr>
    </w:p>
    <w:p w14:paraId="2C58F47B" w14:textId="77777777" w:rsidR="00D0416C" w:rsidRDefault="002B09DF" w:rsidP="00CB2046">
      <w:pPr>
        <w:widowControl w:val="0"/>
        <w:spacing w:line="204" w:lineRule="auto"/>
        <w:jc w:val="both"/>
        <w:rPr>
          <w:b/>
          <w:sz w:val="24"/>
          <w:szCs w:val="24"/>
        </w:rPr>
      </w:pPr>
      <w:r>
        <w:rPr>
          <w:b/>
          <w:sz w:val="24"/>
          <w:szCs w:val="24"/>
        </w:rPr>
        <w:t>Narrative</w:t>
      </w:r>
    </w:p>
    <w:p w14:paraId="6BA7DD76" w14:textId="6E3AA2AD" w:rsidR="00D757BF" w:rsidRDefault="00D757BF" w:rsidP="00D757BF">
      <w:pPr>
        <w:widowControl w:val="0"/>
        <w:spacing w:after="120"/>
        <w:jc w:val="both"/>
        <w:rPr>
          <w:b/>
          <w:sz w:val="24"/>
          <w:szCs w:val="24"/>
        </w:rPr>
      </w:pPr>
      <w:r>
        <w:rPr>
          <w:sz w:val="23"/>
          <w:szCs w:val="23"/>
        </w:rPr>
        <w:t xml:space="preserve">The City distributes funding based on its geographic regions with populations </w:t>
      </w:r>
      <w:r w:rsidR="00D07211">
        <w:rPr>
          <w:sz w:val="23"/>
          <w:szCs w:val="23"/>
        </w:rPr>
        <w:t>needing</w:t>
      </w:r>
      <w:r>
        <w:rPr>
          <w:sz w:val="23"/>
          <w:szCs w:val="23"/>
        </w:rPr>
        <w:t xml:space="preserve"> affordable housing options to allocate CDBG and HOME resources to assist various communities throughout Anniston and Calhoun County.</w:t>
      </w:r>
    </w:p>
    <w:p w14:paraId="21E7DC59" w14:textId="77777777" w:rsidR="00D757BF" w:rsidRDefault="00D757BF" w:rsidP="00CB2046">
      <w:pPr>
        <w:widowControl w:val="0"/>
        <w:spacing w:line="204" w:lineRule="auto"/>
        <w:jc w:val="both"/>
        <w:rPr>
          <w:b/>
          <w:sz w:val="24"/>
          <w:szCs w:val="24"/>
        </w:rPr>
      </w:pPr>
    </w:p>
    <w:p w14:paraId="56FD0C23" w14:textId="77777777" w:rsidR="00D0416C" w:rsidRDefault="002B09DF" w:rsidP="00CB2046">
      <w:pPr>
        <w:pageBreakBefore/>
        <w:widowControl w:val="0"/>
        <w:spacing w:line="240" w:lineRule="auto"/>
        <w:jc w:val="both"/>
        <w:rPr>
          <w:b/>
          <w:sz w:val="24"/>
          <w:szCs w:val="24"/>
        </w:rPr>
      </w:pPr>
      <w:r>
        <w:rPr>
          <w:b/>
          <w:sz w:val="24"/>
          <w:szCs w:val="24"/>
        </w:rPr>
        <w:lastRenderedPageBreak/>
        <w:t>Leveraging</w:t>
      </w:r>
    </w:p>
    <w:p w14:paraId="44C77155" w14:textId="1AB5CA57" w:rsidR="00D0416C" w:rsidRDefault="002B09DF" w:rsidP="00CB2046">
      <w:pPr>
        <w:widowControl w:val="0"/>
        <w:spacing w:line="240" w:lineRule="auto"/>
        <w:jc w:val="both"/>
        <w:rPr>
          <w:b/>
          <w:sz w:val="24"/>
          <w:szCs w:val="24"/>
        </w:rPr>
      </w:pPr>
      <w:r>
        <w:rPr>
          <w:b/>
          <w:sz w:val="24"/>
          <w:szCs w:val="24"/>
        </w:rPr>
        <w:t>Explain how federal funds leveraged additional resources (private, state</w:t>
      </w:r>
      <w:r w:rsidR="00D07211">
        <w:rPr>
          <w:b/>
          <w:sz w:val="24"/>
          <w:szCs w:val="24"/>
        </w:rPr>
        <w:t>,</w:t>
      </w:r>
      <w:r>
        <w:rPr>
          <w:b/>
          <w:sz w:val="24"/>
          <w:szCs w:val="24"/>
        </w:rPr>
        <w:t xml:space="preserve"> and local funds), including a description of how matching requirements were satisfied</w:t>
      </w:r>
      <w:r w:rsidR="00D07211">
        <w:rPr>
          <w:b/>
          <w:sz w:val="24"/>
          <w:szCs w:val="24"/>
        </w:rPr>
        <w:t xml:space="preserve"> and</w:t>
      </w:r>
      <w:r>
        <w:rPr>
          <w:b/>
          <w:sz w:val="24"/>
          <w:szCs w:val="24"/>
        </w:rPr>
        <w:t xml:space="preserve"> how any publicly owned land or property located within the </w:t>
      </w:r>
      <w:r w:rsidR="00D07211">
        <w:rPr>
          <w:b/>
          <w:sz w:val="24"/>
          <w:szCs w:val="24"/>
        </w:rPr>
        <w:t>J</w:t>
      </w:r>
      <w:r>
        <w:rPr>
          <w:b/>
          <w:sz w:val="24"/>
          <w:szCs w:val="24"/>
        </w:rPr>
        <w:t>urisdiction that were used to address the needs identified in the plan.</w:t>
      </w:r>
    </w:p>
    <w:p w14:paraId="3253A2D2" w14:textId="77777777" w:rsidR="00D757BF" w:rsidRDefault="00D757BF" w:rsidP="00D757BF">
      <w:pPr>
        <w:pStyle w:val="Default"/>
        <w:jc w:val="both"/>
        <w:rPr>
          <w:sz w:val="23"/>
          <w:szCs w:val="23"/>
        </w:rPr>
      </w:pPr>
      <w:r>
        <w:rPr>
          <w:sz w:val="23"/>
          <w:szCs w:val="23"/>
        </w:rPr>
        <w:t xml:space="preserve">Although the CDBG program does not require matching funds, CDBG funds are typically leveraged through various private and public sources for the CDBG projects undertaken in 2020. Subrecipients that received CDBG funding also received funding from federal, state, local, and other resources. </w:t>
      </w:r>
    </w:p>
    <w:p w14:paraId="4D9A1D11" w14:textId="77777777" w:rsidR="00D757BF" w:rsidRDefault="00D757BF" w:rsidP="00D757BF">
      <w:pPr>
        <w:widowControl w:val="0"/>
        <w:spacing w:after="0" w:line="240" w:lineRule="auto"/>
        <w:jc w:val="both"/>
        <w:rPr>
          <w:sz w:val="23"/>
          <w:szCs w:val="23"/>
        </w:rPr>
      </w:pPr>
      <w:r>
        <w:rPr>
          <w:sz w:val="23"/>
          <w:szCs w:val="23"/>
        </w:rPr>
        <w:t xml:space="preserve">HOME funds were leveraged through the use of gap financing. </w:t>
      </w:r>
    </w:p>
    <w:p w14:paraId="2C59F9A8" w14:textId="77777777" w:rsidR="00D757BF" w:rsidRDefault="00D757BF" w:rsidP="00D757BF">
      <w:pPr>
        <w:widowControl w:val="0"/>
        <w:spacing w:after="0" w:line="240" w:lineRule="auto"/>
        <w:jc w:val="both"/>
        <w:rPr>
          <w:sz w:val="23"/>
          <w:szCs w:val="23"/>
        </w:rPr>
      </w:pPr>
    </w:p>
    <w:p w14:paraId="12CB6BC4" w14:textId="41D939A8" w:rsidR="00D0416C" w:rsidRDefault="00D757BF" w:rsidP="00154C3F">
      <w:pPr>
        <w:widowControl w:val="0"/>
        <w:spacing w:after="0" w:line="240" w:lineRule="auto"/>
        <w:jc w:val="both"/>
        <w:rPr>
          <w:b/>
        </w:rPr>
      </w:pPr>
      <w:r>
        <w:rPr>
          <w:sz w:val="23"/>
          <w:szCs w:val="23"/>
        </w:rPr>
        <w:t xml:space="preserve">Developers identified and secured primary funding sources </w:t>
      </w:r>
      <w:r w:rsidR="00D07211">
        <w:rPr>
          <w:sz w:val="23"/>
          <w:szCs w:val="23"/>
        </w:rPr>
        <w:t>before</w:t>
      </w:r>
      <w:r>
        <w:rPr>
          <w:sz w:val="23"/>
          <w:szCs w:val="23"/>
        </w:rPr>
        <w:t xml:space="preserve"> allocations </w:t>
      </w:r>
      <w:r w:rsidR="00D07211">
        <w:rPr>
          <w:sz w:val="23"/>
          <w:szCs w:val="23"/>
        </w:rPr>
        <w:t>were</w:t>
      </w:r>
      <w:r>
        <w:rPr>
          <w:sz w:val="23"/>
          <w:szCs w:val="23"/>
        </w:rPr>
        <w:t xml:space="preserve"> awarded. These HOME funds were leveraged and matched with private lenders, sponsorship contributions from individuals, churches, clubs, and businesses; local public housing authority funding; in-kind donations; and private donations. In FY2020, the City of Anniston was granted a match reduction waiver due to fiscal distress, severe fiscal distress, and Presidential disaster declarations. The City of Anniston satisfied both of the HUD distress criteria: local </w:t>
      </w:r>
      <w:r w:rsidR="00D07211">
        <w:rPr>
          <w:sz w:val="23"/>
          <w:szCs w:val="23"/>
        </w:rPr>
        <w:t>J</w:t>
      </w:r>
      <w:r>
        <w:rPr>
          <w:sz w:val="23"/>
          <w:szCs w:val="23"/>
        </w:rPr>
        <w:t>urisdiction is determined to be in severe fiscal distress and receives a 100 percent reduction of the match. As such, the City of Anniston did not have a matching liability in FY2020, per HUD IDIS Report PR33.</w:t>
      </w:r>
    </w:p>
    <w:p w14:paraId="20F1E77E" w14:textId="77777777" w:rsidR="00D0416C" w:rsidRDefault="00D0416C" w:rsidP="00CB2046">
      <w:pPr>
        <w:widowControl w:val="0"/>
        <w:spacing w:line="204" w:lineRule="auto"/>
        <w:jc w:val="both"/>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7"/>
        <w:gridCol w:w="2333"/>
      </w:tblGrid>
      <w:tr w:rsidR="00D0416C" w14:paraId="74A2835C" w14:textId="77777777" w:rsidTr="00D07211">
        <w:trPr>
          <w:cantSplit/>
          <w:tblHeader/>
        </w:trPr>
        <w:tc>
          <w:tcPr>
            <w:tcW w:w="9576" w:type="dxa"/>
            <w:gridSpan w:val="2"/>
            <w:shd w:val="clear" w:color="auto" w:fill="BFBFBF" w:themeFill="background1" w:themeFillShade="BF"/>
          </w:tcPr>
          <w:p w14:paraId="7B4A8378" w14:textId="77777777" w:rsidR="00D0416C" w:rsidRDefault="002B09DF" w:rsidP="00CB2046">
            <w:pPr>
              <w:keepNext/>
              <w:widowControl w:val="0"/>
              <w:spacing w:after="0" w:line="240" w:lineRule="auto"/>
              <w:jc w:val="both"/>
              <w:rPr>
                <w:rFonts w:cs="Arial"/>
              </w:rPr>
            </w:pPr>
            <w:r>
              <w:rPr>
                <w:b/>
              </w:rPr>
              <w:t>Fiscal Year Summary – HOME Match</w:t>
            </w:r>
          </w:p>
        </w:tc>
      </w:tr>
      <w:tr w:rsidR="00D0416C" w14:paraId="750E3993" w14:textId="77777777">
        <w:trPr>
          <w:cantSplit/>
        </w:trPr>
        <w:tc>
          <w:tcPr>
            <w:tcW w:w="7193" w:type="dxa"/>
          </w:tcPr>
          <w:p w14:paraId="19964880" w14:textId="77777777" w:rsidR="00D0416C" w:rsidRDefault="002B09DF" w:rsidP="00CB2046">
            <w:pPr>
              <w:keepNext/>
              <w:spacing w:after="0" w:line="240" w:lineRule="auto"/>
              <w:jc w:val="both"/>
            </w:pPr>
            <w:r>
              <w:t>1. Excess match from prior Federal fiscal year</w:t>
            </w:r>
          </w:p>
        </w:tc>
        <w:tc>
          <w:tcPr>
            <w:tcW w:w="2383" w:type="dxa"/>
          </w:tcPr>
          <w:p w14:paraId="35681584" w14:textId="77777777" w:rsidR="00D0416C" w:rsidRDefault="00154C3F" w:rsidP="00D07211">
            <w:pPr>
              <w:keepNext/>
              <w:widowControl w:val="0"/>
              <w:spacing w:after="0" w:line="240" w:lineRule="auto"/>
              <w:jc w:val="center"/>
              <w:rPr>
                <w:rFonts w:cs="Arial"/>
              </w:rPr>
            </w:pPr>
            <w:r>
              <w:rPr>
                <w:rFonts w:cs="Arial"/>
              </w:rPr>
              <w:t>$0.00</w:t>
            </w:r>
          </w:p>
        </w:tc>
      </w:tr>
      <w:tr w:rsidR="00D0416C" w14:paraId="3F4C787F" w14:textId="77777777">
        <w:trPr>
          <w:cantSplit/>
        </w:trPr>
        <w:tc>
          <w:tcPr>
            <w:tcW w:w="7193" w:type="dxa"/>
          </w:tcPr>
          <w:p w14:paraId="3DC3A753" w14:textId="77777777" w:rsidR="00D0416C" w:rsidRDefault="002B09DF" w:rsidP="00CB2046">
            <w:pPr>
              <w:keepNext/>
              <w:spacing w:after="0" w:line="240" w:lineRule="auto"/>
              <w:jc w:val="both"/>
            </w:pPr>
            <w:r>
              <w:t>2. Match contributed during current Federal fiscal year</w:t>
            </w:r>
          </w:p>
        </w:tc>
        <w:tc>
          <w:tcPr>
            <w:tcW w:w="2383" w:type="dxa"/>
          </w:tcPr>
          <w:p w14:paraId="15F6FCC9" w14:textId="77777777" w:rsidR="00D0416C" w:rsidRDefault="00154C3F" w:rsidP="00D07211">
            <w:pPr>
              <w:keepNext/>
              <w:widowControl w:val="0"/>
              <w:spacing w:after="0" w:line="240" w:lineRule="auto"/>
              <w:jc w:val="center"/>
              <w:rPr>
                <w:rFonts w:cs="Arial"/>
              </w:rPr>
            </w:pPr>
            <w:r>
              <w:rPr>
                <w:rFonts w:cs="Arial"/>
              </w:rPr>
              <w:t>$0.00</w:t>
            </w:r>
          </w:p>
        </w:tc>
      </w:tr>
      <w:tr w:rsidR="00D0416C" w14:paraId="0B9C0272" w14:textId="77777777">
        <w:trPr>
          <w:cantSplit/>
        </w:trPr>
        <w:tc>
          <w:tcPr>
            <w:tcW w:w="7193" w:type="dxa"/>
          </w:tcPr>
          <w:p w14:paraId="73B772EE" w14:textId="007BE395" w:rsidR="00D0416C" w:rsidRDefault="002B09DF" w:rsidP="00CB2046">
            <w:pPr>
              <w:keepNext/>
              <w:spacing w:after="0" w:line="240" w:lineRule="auto"/>
              <w:jc w:val="both"/>
            </w:pPr>
            <w:r>
              <w:t>3.</w:t>
            </w:r>
            <w:r w:rsidR="00D07211">
              <w:t xml:space="preserve"> </w:t>
            </w:r>
            <w:r>
              <w:t xml:space="preserve">Total match available for current Federal fiscal year (Line 1 plus Line 2) </w:t>
            </w:r>
          </w:p>
        </w:tc>
        <w:tc>
          <w:tcPr>
            <w:tcW w:w="2383" w:type="dxa"/>
          </w:tcPr>
          <w:p w14:paraId="5FC109A6" w14:textId="77777777" w:rsidR="00D0416C" w:rsidRDefault="00154C3F" w:rsidP="00D07211">
            <w:pPr>
              <w:keepNext/>
              <w:widowControl w:val="0"/>
              <w:spacing w:after="0" w:line="240" w:lineRule="auto"/>
              <w:jc w:val="center"/>
              <w:rPr>
                <w:rFonts w:cs="Arial"/>
              </w:rPr>
            </w:pPr>
            <w:r>
              <w:rPr>
                <w:rFonts w:cs="Arial"/>
              </w:rPr>
              <w:t>$0.00</w:t>
            </w:r>
          </w:p>
        </w:tc>
      </w:tr>
      <w:tr w:rsidR="00D0416C" w14:paraId="082AE853" w14:textId="77777777">
        <w:trPr>
          <w:cantSplit/>
        </w:trPr>
        <w:tc>
          <w:tcPr>
            <w:tcW w:w="7193" w:type="dxa"/>
          </w:tcPr>
          <w:p w14:paraId="7B167A6B" w14:textId="77777777" w:rsidR="00D0416C" w:rsidRDefault="002B09DF" w:rsidP="00CB2046">
            <w:pPr>
              <w:keepNext/>
              <w:spacing w:after="0" w:line="240" w:lineRule="auto"/>
              <w:jc w:val="both"/>
            </w:pPr>
            <w:r>
              <w:t>4. Match liability for current Federal fiscal year</w:t>
            </w:r>
          </w:p>
        </w:tc>
        <w:tc>
          <w:tcPr>
            <w:tcW w:w="2383" w:type="dxa"/>
          </w:tcPr>
          <w:p w14:paraId="2863651E" w14:textId="77777777" w:rsidR="00D0416C" w:rsidRDefault="00154C3F" w:rsidP="00D07211">
            <w:pPr>
              <w:keepNext/>
              <w:widowControl w:val="0"/>
              <w:spacing w:after="0" w:line="240" w:lineRule="auto"/>
              <w:jc w:val="center"/>
              <w:rPr>
                <w:rFonts w:cs="Arial"/>
              </w:rPr>
            </w:pPr>
            <w:r>
              <w:rPr>
                <w:rFonts w:cs="Arial"/>
              </w:rPr>
              <w:t>$0.00</w:t>
            </w:r>
          </w:p>
        </w:tc>
      </w:tr>
      <w:tr w:rsidR="00D0416C" w14:paraId="427359EF" w14:textId="77777777">
        <w:trPr>
          <w:cantSplit/>
        </w:trPr>
        <w:tc>
          <w:tcPr>
            <w:tcW w:w="7193" w:type="dxa"/>
          </w:tcPr>
          <w:p w14:paraId="711F6302" w14:textId="77777777" w:rsidR="00D0416C" w:rsidRDefault="002B09DF" w:rsidP="00CB2046">
            <w:pPr>
              <w:keepNext/>
              <w:spacing w:after="0" w:line="240" w:lineRule="auto"/>
              <w:jc w:val="both"/>
            </w:pPr>
            <w:r>
              <w:t>5. Excess match carried over to next Federal fiscal year (Line 3 minus Line 4)</w:t>
            </w:r>
          </w:p>
        </w:tc>
        <w:tc>
          <w:tcPr>
            <w:tcW w:w="2383" w:type="dxa"/>
          </w:tcPr>
          <w:p w14:paraId="5C264008" w14:textId="77777777" w:rsidR="00D0416C" w:rsidRDefault="00154C3F" w:rsidP="00D07211">
            <w:pPr>
              <w:keepNext/>
              <w:widowControl w:val="0"/>
              <w:spacing w:after="0" w:line="240" w:lineRule="auto"/>
              <w:jc w:val="center"/>
              <w:rPr>
                <w:rFonts w:cs="Arial"/>
              </w:rPr>
            </w:pPr>
            <w:r>
              <w:rPr>
                <w:rFonts w:cs="Arial"/>
              </w:rPr>
              <w:t>$0.00</w:t>
            </w:r>
          </w:p>
        </w:tc>
      </w:tr>
    </w:tbl>
    <w:p w14:paraId="5E4DF64C" w14:textId="77777777" w:rsidR="00D0416C" w:rsidRDefault="002B09DF" w:rsidP="00CB2046">
      <w:pPr>
        <w:pStyle w:val="Caption"/>
        <w:jc w:val="both"/>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65EF1">
        <w:rPr>
          <w:rFonts w:asciiTheme="minorHAnsi" w:hAnsiTheme="minorHAnsi"/>
          <w:noProof/>
        </w:rPr>
        <w:t>5</w:t>
      </w:r>
      <w:r>
        <w:rPr>
          <w:rFonts w:asciiTheme="minorHAnsi" w:hAnsiTheme="minorHAnsi"/>
        </w:rPr>
        <w:fldChar w:fldCharType="end"/>
      </w:r>
      <w:r>
        <w:rPr>
          <w:rFonts w:asciiTheme="minorHAnsi" w:hAnsiTheme="minorHAnsi"/>
        </w:rPr>
        <w:t xml:space="preserve"> – Fiscal Year Summary - HOME Match Report</w:t>
      </w:r>
    </w:p>
    <w:p w14:paraId="30471705" w14:textId="77777777" w:rsidR="00D0416C" w:rsidRDefault="00D0416C" w:rsidP="00CB2046">
      <w:pPr>
        <w:widowControl w:val="0"/>
        <w:spacing w:line="204" w:lineRule="auto"/>
        <w:jc w:val="both"/>
        <w:rPr>
          <w:rFonts w:cs="Arial"/>
        </w:rPr>
      </w:pPr>
    </w:p>
    <w:p w14:paraId="324AE093" w14:textId="77777777" w:rsidR="00D0416C" w:rsidRDefault="00D0416C" w:rsidP="00CB2046">
      <w:pPr>
        <w:keepNext/>
        <w:spacing w:after="0" w:line="240" w:lineRule="auto"/>
        <w:jc w:val="both"/>
        <w:rPr>
          <w:b/>
          <w:sz w:val="24"/>
          <w:szCs w:val="24"/>
        </w:rPr>
        <w:sectPr w:rsidR="00D0416C" w:rsidSect="00365EF1">
          <w:type w:val="continuous"/>
          <w:pgSz w:w="12240" w:h="15840" w:code="1"/>
          <w:pgMar w:top="1440" w:right="1440" w:bottom="1440" w:left="1440" w:header="720" w:footer="720" w:gutter="0"/>
          <w:cols w:space="720"/>
          <w:docGrid w:linePitch="360"/>
        </w:sectPr>
      </w:pPr>
    </w:p>
    <w:tbl>
      <w:tblPr>
        <w:tblW w:w="529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1350"/>
        <w:gridCol w:w="990"/>
        <w:gridCol w:w="1080"/>
        <w:gridCol w:w="1080"/>
        <w:gridCol w:w="990"/>
        <w:gridCol w:w="1350"/>
        <w:gridCol w:w="1080"/>
        <w:gridCol w:w="810"/>
      </w:tblGrid>
      <w:tr w:rsidR="00D0416C" w14:paraId="08EFD216" w14:textId="77777777" w:rsidTr="00D07211">
        <w:trPr>
          <w:cantSplit/>
          <w:tblHeader/>
        </w:trPr>
        <w:tc>
          <w:tcPr>
            <w:tcW w:w="9900" w:type="dxa"/>
            <w:gridSpan w:val="9"/>
            <w:shd w:val="clear" w:color="auto" w:fill="BFBFBF" w:themeFill="background1" w:themeFillShade="BF"/>
          </w:tcPr>
          <w:p w14:paraId="7D96455C" w14:textId="77777777" w:rsidR="00D0416C" w:rsidRDefault="002B09DF" w:rsidP="00154C3F">
            <w:pPr>
              <w:keepNext/>
              <w:widowControl w:val="0"/>
              <w:tabs>
                <w:tab w:val="left" w:pos="405"/>
                <w:tab w:val="center" w:pos="6480"/>
              </w:tabs>
              <w:spacing w:after="0" w:line="240" w:lineRule="auto"/>
              <w:jc w:val="center"/>
              <w:rPr>
                <w:b/>
              </w:rPr>
            </w:pPr>
            <w:r>
              <w:rPr>
                <w:b/>
              </w:rPr>
              <w:lastRenderedPageBreak/>
              <w:t>Match Contribution for the Federal Fiscal Year</w:t>
            </w:r>
          </w:p>
        </w:tc>
      </w:tr>
      <w:tr w:rsidR="00D0416C" w14:paraId="2CCA3F84" w14:textId="77777777" w:rsidTr="00D07211">
        <w:trPr>
          <w:cantSplit/>
          <w:tblHeader/>
        </w:trPr>
        <w:tc>
          <w:tcPr>
            <w:tcW w:w="1170" w:type="dxa"/>
          </w:tcPr>
          <w:p w14:paraId="735B4C9D" w14:textId="77777777" w:rsidR="00D0416C" w:rsidRDefault="002B09DF" w:rsidP="00D07211">
            <w:pPr>
              <w:keepNext/>
              <w:widowControl w:val="0"/>
              <w:spacing w:after="0" w:line="240" w:lineRule="auto"/>
              <w:jc w:val="center"/>
              <w:rPr>
                <w:b/>
                <w:sz w:val="20"/>
                <w:szCs w:val="20"/>
              </w:rPr>
            </w:pPr>
            <w:r>
              <w:rPr>
                <w:b/>
                <w:sz w:val="20"/>
                <w:szCs w:val="20"/>
              </w:rPr>
              <w:t>Project No. or Other ID</w:t>
            </w:r>
          </w:p>
        </w:tc>
        <w:tc>
          <w:tcPr>
            <w:tcW w:w="1350" w:type="dxa"/>
          </w:tcPr>
          <w:p w14:paraId="10970CD6" w14:textId="77777777" w:rsidR="00D0416C" w:rsidRDefault="002B09DF" w:rsidP="00D07211">
            <w:pPr>
              <w:keepNext/>
              <w:widowControl w:val="0"/>
              <w:spacing w:after="0" w:line="240" w:lineRule="auto"/>
              <w:jc w:val="center"/>
              <w:rPr>
                <w:b/>
                <w:sz w:val="20"/>
                <w:szCs w:val="20"/>
              </w:rPr>
            </w:pPr>
            <w:r>
              <w:rPr>
                <w:b/>
                <w:sz w:val="20"/>
                <w:szCs w:val="20"/>
              </w:rPr>
              <w:t>Date of Contribution</w:t>
            </w:r>
          </w:p>
        </w:tc>
        <w:tc>
          <w:tcPr>
            <w:tcW w:w="990" w:type="dxa"/>
          </w:tcPr>
          <w:p w14:paraId="0DD43381" w14:textId="77777777" w:rsidR="00D0416C" w:rsidRDefault="002B09DF" w:rsidP="00D07211">
            <w:pPr>
              <w:keepNext/>
              <w:widowControl w:val="0"/>
              <w:spacing w:after="0" w:line="240" w:lineRule="auto"/>
              <w:jc w:val="center"/>
              <w:rPr>
                <w:b/>
                <w:sz w:val="20"/>
                <w:szCs w:val="20"/>
              </w:rPr>
            </w:pPr>
            <w:r>
              <w:rPr>
                <w:b/>
                <w:sz w:val="20"/>
                <w:szCs w:val="20"/>
              </w:rPr>
              <w:t>Cash</w:t>
            </w:r>
          </w:p>
          <w:p w14:paraId="20C89376" w14:textId="77777777" w:rsidR="00D0416C" w:rsidRDefault="002B09DF" w:rsidP="00D07211">
            <w:pPr>
              <w:keepNext/>
              <w:widowControl w:val="0"/>
              <w:spacing w:after="0" w:line="240" w:lineRule="auto"/>
              <w:jc w:val="center"/>
              <w:rPr>
                <w:b/>
                <w:sz w:val="20"/>
                <w:szCs w:val="20"/>
              </w:rPr>
            </w:pPr>
            <w:r>
              <w:rPr>
                <w:b/>
                <w:sz w:val="20"/>
                <w:szCs w:val="20"/>
              </w:rPr>
              <w:t>(non-Federal sources)</w:t>
            </w:r>
          </w:p>
        </w:tc>
        <w:tc>
          <w:tcPr>
            <w:tcW w:w="1080" w:type="dxa"/>
          </w:tcPr>
          <w:p w14:paraId="49CDE72A" w14:textId="77777777" w:rsidR="00D0416C" w:rsidRDefault="002B09DF" w:rsidP="00D07211">
            <w:pPr>
              <w:keepNext/>
              <w:widowControl w:val="0"/>
              <w:spacing w:after="0" w:line="240" w:lineRule="auto"/>
              <w:jc w:val="center"/>
              <w:rPr>
                <w:b/>
                <w:sz w:val="20"/>
                <w:szCs w:val="20"/>
              </w:rPr>
            </w:pPr>
            <w:r>
              <w:rPr>
                <w:b/>
                <w:sz w:val="20"/>
                <w:szCs w:val="20"/>
              </w:rPr>
              <w:t>Foregone Taxes, Fees, Charges</w:t>
            </w:r>
          </w:p>
        </w:tc>
        <w:tc>
          <w:tcPr>
            <w:tcW w:w="1080" w:type="dxa"/>
          </w:tcPr>
          <w:p w14:paraId="7B2A132A" w14:textId="77777777" w:rsidR="00D0416C" w:rsidRDefault="002B09DF" w:rsidP="00D07211">
            <w:pPr>
              <w:keepNext/>
              <w:widowControl w:val="0"/>
              <w:spacing w:after="0" w:line="240" w:lineRule="auto"/>
              <w:jc w:val="center"/>
              <w:rPr>
                <w:b/>
                <w:sz w:val="20"/>
                <w:szCs w:val="20"/>
              </w:rPr>
            </w:pPr>
            <w:r>
              <w:rPr>
                <w:b/>
                <w:sz w:val="20"/>
                <w:szCs w:val="20"/>
              </w:rPr>
              <w:t>Appraised Land/Real Property</w:t>
            </w:r>
          </w:p>
        </w:tc>
        <w:tc>
          <w:tcPr>
            <w:tcW w:w="990" w:type="dxa"/>
          </w:tcPr>
          <w:p w14:paraId="182E3B74" w14:textId="77777777" w:rsidR="00D0416C" w:rsidRDefault="002B09DF" w:rsidP="00D07211">
            <w:pPr>
              <w:keepNext/>
              <w:widowControl w:val="0"/>
              <w:spacing w:after="0" w:line="240" w:lineRule="auto"/>
              <w:jc w:val="center"/>
              <w:rPr>
                <w:b/>
                <w:sz w:val="20"/>
                <w:szCs w:val="20"/>
              </w:rPr>
            </w:pPr>
            <w:r>
              <w:rPr>
                <w:b/>
                <w:sz w:val="20"/>
                <w:szCs w:val="20"/>
              </w:rPr>
              <w:t>Required Infrastructure</w:t>
            </w:r>
          </w:p>
        </w:tc>
        <w:tc>
          <w:tcPr>
            <w:tcW w:w="1350" w:type="dxa"/>
          </w:tcPr>
          <w:p w14:paraId="40AB9B18" w14:textId="77777777" w:rsidR="00D0416C" w:rsidRDefault="002B09DF" w:rsidP="00D07211">
            <w:pPr>
              <w:keepNext/>
              <w:widowControl w:val="0"/>
              <w:spacing w:after="0" w:line="240" w:lineRule="auto"/>
              <w:jc w:val="center"/>
              <w:rPr>
                <w:b/>
                <w:sz w:val="20"/>
                <w:szCs w:val="20"/>
              </w:rPr>
            </w:pPr>
            <w:r>
              <w:rPr>
                <w:b/>
                <w:sz w:val="20"/>
                <w:szCs w:val="20"/>
              </w:rPr>
              <w:t>Site Preparation, Construction Materials, Donated labor</w:t>
            </w:r>
          </w:p>
        </w:tc>
        <w:tc>
          <w:tcPr>
            <w:tcW w:w="1080" w:type="dxa"/>
          </w:tcPr>
          <w:p w14:paraId="1269CC47" w14:textId="77777777" w:rsidR="00D0416C" w:rsidRDefault="002B09DF" w:rsidP="00D07211">
            <w:pPr>
              <w:keepNext/>
              <w:widowControl w:val="0"/>
              <w:spacing w:after="0" w:line="240" w:lineRule="auto"/>
              <w:jc w:val="center"/>
              <w:rPr>
                <w:b/>
                <w:sz w:val="20"/>
                <w:szCs w:val="20"/>
              </w:rPr>
            </w:pPr>
            <w:r>
              <w:rPr>
                <w:b/>
                <w:sz w:val="20"/>
                <w:szCs w:val="20"/>
              </w:rPr>
              <w:t>Bond Financing</w:t>
            </w:r>
          </w:p>
        </w:tc>
        <w:tc>
          <w:tcPr>
            <w:tcW w:w="810" w:type="dxa"/>
          </w:tcPr>
          <w:p w14:paraId="7FCE6A20" w14:textId="77777777" w:rsidR="00D0416C" w:rsidRDefault="002B09DF" w:rsidP="00D07211">
            <w:pPr>
              <w:keepNext/>
              <w:widowControl w:val="0"/>
              <w:spacing w:after="0" w:line="240" w:lineRule="auto"/>
              <w:jc w:val="center"/>
              <w:rPr>
                <w:b/>
                <w:sz w:val="20"/>
                <w:szCs w:val="20"/>
              </w:rPr>
            </w:pPr>
            <w:r>
              <w:rPr>
                <w:b/>
                <w:sz w:val="20"/>
                <w:szCs w:val="20"/>
              </w:rPr>
              <w:t>Total Match</w:t>
            </w:r>
          </w:p>
        </w:tc>
      </w:tr>
      <w:tr w:rsidR="00D0416C" w14:paraId="34547482" w14:textId="77777777" w:rsidTr="00D07211">
        <w:trPr>
          <w:cantSplit/>
        </w:trPr>
        <w:tc>
          <w:tcPr>
            <w:tcW w:w="1170" w:type="dxa"/>
          </w:tcPr>
          <w:p w14:paraId="65F38863" w14:textId="77777777" w:rsidR="00D0416C" w:rsidRDefault="00154C3F" w:rsidP="00D07211">
            <w:pPr>
              <w:keepNext/>
              <w:widowControl w:val="0"/>
              <w:spacing w:after="0" w:line="240" w:lineRule="auto"/>
              <w:jc w:val="center"/>
              <w:rPr>
                <w:sz w:val="20"/>
                <w:szCs w:val="20"/>
              </w:rPr>
            </w:pPr>
            <w:r>
              <w:rPr>
                <w:rFonts w:cs="Arial"/>
              </w:rPr>
              <w:t>$0.00</w:t>
            </w:r>
          </w:p>
        </w:tc>
        <w:tc>
          <w:tcPr>
            <w:tcW w:w="1350" w:type="dxa"/>
          </w:tcPr>
          <w:p w14:paraId="4AC42B36" w14:textId="77777777" w:rsidR="00D0416C" w:rsidRDefault="00154C3F" w:rsidP="00D07211">
            <w:pPr>
              <w:keepNext/>
              <w:widowControl w:val="0"/>
              <w:spacing w:after="0" w:line="240" w:lineRule="auto"/>
              <w:jc w:val="center"/>
              <w:rPr>
                <w:sz w:val="20"/>
                <w:szCs w:val="20"/>
              </w:rPr>
            </w:pPr>
            <w:r>
              <w:rPr>
                <w:rFonts w:cs="Arial"/>
              </w:rPr>
              <w:t>$0.00</w:t>
            </w:r>
          </w:p>
        </w:tc>
        <w:tc>
          <w:tcPr>
            <w:tcW w:w="990" w:type="dxa"/>
          </w:tcPr>
          <w:p w14:paraId="62BA8A03" w14:textId="77777777" w:rsidR="00D0416C" w:rsidRDefault="00154C3F" w:rsidP="00D07211">
            <w:pPr>
              <w:keepNext/>
              <w:widowControl w:val="0"/>
              <w:spacing w:after="0" w:line="240" w:lineRule="auto"/>
              <w:jc w:val="center"/>
              <w:rPr>
                <w:sz w:val="20"/>
                <w:szCs w:val="20"/>
              </w:rPr>
            </w:pPr>
            <w:r>
              <w:rPr>
                <w:rFonts w:cs="Arial"/>
              </w:rPr>
              <w:t>$0.00</w:t>
            </w:r>
          </w:p>
        </w:tc>
        <w:tc>
          <w:tcPr>
            <w:tcW w:w="1080" w:type="dxa"/>
          </w:tcPr>
          <w:p w14:paraId="294D754D" w14:textId="77777777" w:rsidR="00D0416C" w:rsidRDefault="00154C3F" w:rsidP="00D07211">
            <w:pPr>
              <w:keepNext/>
              <w:widowControl w:val="0"/>
              <w:spacing w:after="0" w:line="240" w:lineRule="auto"/>
              <w:jc w:val="center"/>
              <w:rPr>
                <w:sz w:val="20"/>
                <w:szCs w:val="20"/>
              </w:rPr>
            </w:pPr>
            <w:r>
              <w:rPr>
                <w:rFonts w:cs="Arial"/>
              </w:rPr>
              <w:t>$0.00</w:t>
            </w:r>
          </w:p>
        </w:tc>
        <w:tc>
          <w:tcPr>
            <w:tcW w:w="1080" w:type="dxa"/>
          </w:tcPr>
          <w:p w14:paraId="1B99C725" w14:textId="77777777" w:rsidR="00D0416C" w:rsidRDefault="00154C3F" w:rsidP="00D07211">
            <w:pPr>
              <w:keepNext/>
              <w:widowControl w:val="0"/>
              <w:spacing w:after="0" w:line="240" w:lineRule="auto"/>
              <w:jc w:val="center"/>
              <w:rPr>
                <w:sz w:val="20"/>
                <w:szCs w:val="20"/>
              </w:rPr>
            </w:pPr>
            <w:r>
              <w:rPr>
                <w:rFonts w:cs="Arial"/>
              </w:rPr>
              <w:t>$0.00</w:t>
            </w:r>
          </w:p>
        </w:tc>
        <w:tc>
          <w:tcPr>
            <w:tcW w:w="990" w:type="dxa"/>
          </w:tcPr>
          <w:p w14:paraId="75798472" w14:textId="77777777" w:rsidR="00D0416C" w:rsidRDefault="00154C3F" w:rsidP="00D07211">
            <w:pPr>
              <w:keepNext/>
              <w:widowControl w:val="0"/>
              <w:spacing w:after="0" w:line="240" w:lineRule="auto"/>
              <w:jc w:val="center"/>
              <w:rPr>
                <w:sz w:val="20"/>
                <w:szCs w:val="20"/>
              </w:rPr>
            </w:pPr>
            <w:r>
              <w:rPr>
                <w:rFonts w:cs="Arial"/>
              </w:rPr>
              <w:t>$0.00</w:t>
            </w:r>
          </w:p>
        </w:tc>
        <w:tc>
          <w:tcPr>
            <w:tcW w:w="1350" w:type="dxa"/>
          </w:tcPr>
          <w:p w14:paraId="51DAF77C" w14:textId="77777777" w:rsidR="00D0416C" w:rsidRDefault="00154C3F" w:rsidP="00D07211">
            <w:pPr>
              <w:keepNext/>
              <w:widowControl w:val="0"/>
              <w:spacing w:after="0" w:line="240" w:lineRule="auto"/>
              <w:jc w:val="center"/>
              <w:rPr>
                <w:sz w:val="20"/>
                <w:szCs w:val="20"/>
              </w:rPr>
            </w:pPr>
            <w:r>
              <w:rPr>
                <w:rFonts w:cs="Arial"/>
              </w:rPr>
              <w:t>$0.00</w:t>
            </w:r>
          </w:p>
        </w:tc>
        <w:tc>
          <w:tcPr>
            <w:tcW w:w="1080" w:type="dxa"/>
          </w:tcPr>
          <w:p w14:paraId="58552371" w14:textId="77777777" w:rsidR="00D0416C" w:rsidRDefault="00154C3F" w:rsidP="00D07211">
            <w:pPr>
              <w:keepNext/>
              <w:widowControl w:val="0"/>
              <w:spacing w:after="0" w:line="240" w:lineRule="auto"/>
              <w:jc w:val="center"/>
              <w:rPr>
                <w:sz w:val="20"/>
                <w:szCs w:val="20"/>
              </w:rPr>
            </w:pPr>
            <w:r>
              <w:rPr>
                <w:rFonts w:cs="Arial"/>
              </w:rPr>
              <w:t>$0.00</w:t>
            </w:r>
          </w:p>
        </w:tc>
        <w:tc>
          <w:tcPr>
            <w:tcW w:w="810" w:type="dxa"/>
          </w:tcPr>
          <w:p w14:paraId="553D8642" w14:textId="77777777" w:rsidR="00D0416C" w:rsidRDefault="00154C3F" w:rsidP="00D07211">
            <w:pPr>
              <w:keepNext/>
              <w:widowControl w:val="0"/>
              <w:spacing w:after="0" w:line="240" w:lineRule="auto"/>
              <w:jc w:val="center"/>
              <w:rPr>
                <w:sz w:val="20"/>
                <w:szCs w:val="20"/>
              </w:rPr>
            </w:pPr>
            <w:r>
              <w:rPr>
                <w:rFonts w:cs="Arial"/>
              </w:rPr>
              <w:t>$0.00</w:t>
            </w:r>
          </w:p>
        </w:tc>
      </w:tr>
    </w:tbl>
    <w:p w14:paraId="27067399" w14:textId="77777777" w:rsidR="00D0416C" w:rsidRDefault="002B09DF" w:rsidP="00CB2046">
      <w:pPr>
        <w:pStyle w:val="Caption"/>
        <w:jc w:val="both"/>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65EF1">
        <w:rPr>
          <w:rFonts w:asciiTheme="minorHAnsi" w:hAnsiTheme="minorHAnsi"/>
          <w:noProof/>
        </w:rPr>
        <w:t>6</w:t>
      </w:r>
      <w:r>
        <w:rPr>
          <w:rFonts w:asciiTheme="minorHAnsi" w:hAnsiTheme="minorHAnsi"/>
        </w:rPr>
        <w:fldChar w:fldCharType="end"/>
      </w:r>
      <w:r>
        <w:rPr>
          <w:rFonts w:asciiTheme="minorHAnsi" w:hAnsiTheme="minorHAnsi"/>
        </w:rPr>
        <w:t xml:space="preserve"> – Match Contribution for the Federal Fiscal Year</w:t>
      </w:r>
    </w:p>
    <w:p w14:paraId="77E5F633" w14:textId="2E2EB05C" w:rsidR="00154C3F" w:rsidRDefault="00154C3F" w:rsidP="00CB2046">
      <w:pPr>
        <w:jc w:val="both"/>
      </w:pPr>
    </w:p>
    <w:p w14:paraId="50308566" w14:textId="707A7AEF" w:rsidR="00D07211" w:rsidRDefault="00D07211" w:rsidP="00CB2046">
      <w:pPr>
        <w:jc w:val="both"/>
      </w:pPr>
    </w:p>
    <w:p w14:paraId="25CB1DB5" w14:textId="77777777" w:rsidR="00D07211" w:rsidRDefault="00D07211" w:rsidP="00CB2046">
      <w:pPr>
        <w:jc w:val="both"/>
      </w:pPr>
    </w:p>
    <w:p w14:paraId="4C230221" w14:textId="77777777" w:rsidR="00154C3F" w:rsidRDefault="00154C3F" w:rsidP="00CB2046">
      <w:pPr>
        <w:jc w:val="both"/>
      </w:pPr>
    </w:p>
    <w:p w14:paraId="761592B6" w14:textId="77777777" w:rsidR="00154C3F" w:rsidRDefault="00154C3F" w:rsidP="00CB2046">
      <w:pPr>
        <w:jc w:val="both"/>
      </w:pPr>
    </w:p>
    <w:p w14:paraId="34AA5172" w14:textId="77777777" w:rsidR="00D0416C" w:rsidRDefault="002B09DF" w:rsidP="00CB2046">
      <w:pPr>
        <w:widowControl w:val="0"/>
        <w:spacing w:line="204" w:lineRule="auto"/>
        <w:jc w:val="both"/>
        <w:rPr>
          <w:b/>
          <w:sz w:val="24"/>
          <w:szCs w:val="24"/>
        </w:rPr>
      </w:pPr>
      <w:r w:rsidRPr="000042EA">
        <w:rPr>
          <w:b/>
          <w:sz w:val="24"/>
          <w:szCs w:val="24"/>
        </w:rPr>
        <w:lastRenderedPageBreak/>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50"/>
        <w:gridCol w:w="1789"/>
        <w:gridCol w:w="1870"/>
        <w:gridCol w:w="1870"/>
        <w:gridCol w:w="1871"/>
      </w:tblGrid>
      <w:tr w:rsidR="00D0416C" w14:paraId="6A2E1B5B" w14:textId="77777777" w:rsidTr="00D07211">
        <w:trPr>
          <w:cantSplit/>
          <w:tblHeader/>
        </w:trPr>
        <w:tc>
          <w:tcPr>
            <w:tcW w:w="9350" w:type="dxa"/>
            <w:gridSpan w:val="5"/>
            <w:shd w:val="clear" w:color="auto" w:fill="1F497D" w:themeFill="text2"/>
          </w:tcPr>
          <w:p w14:paraId="050349AD" w14:textId="77777777" w:rsidR="00D0416C" w:rsidRDefault="002B09DF" w:rsidP="00CB2046">
            <w:pPr>
              <w:keepNext/>
              <w:widowControl w:val="0"/>
              <w:spacing w:after="0" w:line="240" w:lineRule="auto"/>
              <w:jc w:val="both"/>
              <w:rPr>
                <w:b/>
              </w:rPr>
            </w:pPr>
            <w:r w:rsidRPr="00D07211">
              <w:rPr>
                <w:b/>
                <w:color w:val="FFFFFF" w:themeColor="background1"/>
              </w:rPr>
              <w:t xml:space="preserve">Program Income </w:t>
            </w:r>
            <w:r w:rsidRPr="00D07211">
              <w:rPr>
                <w:color w:val="FFFFFF" w:themeColor="background1"/>
              </w:rPr>
              <w:t>– Enter the program amounts for the reporting period</w:t>
            </w:r>
          </w:p>
        </w:tc>
      </w:tr>
      <w:tr w:rsidR="00D0416C" w14:paraId="743F5F12" w14:textId="77777777" w:rsidTr="00D07211">
        <w:trPr>
          <w:cantSplit/>
          <w:tblHeader/>
        </w:trPr>
        <w:tc>
          <w:tcPr>
            <w:tcW w:w="1950" w:type="dxa"/>
            <w:shd w:val="clear" w:color="auto" w:fill="BFBFBF" w:themeFill="background1" w:themeFillShade="BF"/>
          </w:tcPr>
          <w:p w14:paraId="72F61E95" w14:textId="01D4CF0D" w:rsidR="00D0416C" w:rsidRDefault="002B09DF" w:rsidP="00D07211">
            <w:pPr>
              <w:keepNext/>
              <w:spacing w:after="0" w:line="240" w:lineRule="auto"/>
              <w:rPr>
                <w:b/>
              </w:rPr>
            </w:pPr>
            <w:r>
              <w:rPr>
                <w:b/>
              </w:rPr>
              <w:t>Balance on hand at beginning of reporting period</w:t>
            </w:r>
            <w:r w:rsidR="00D07211">
              <w:rPr>
                <w:b/>
              </w:rPr>
              <w:t xml:space="preserve"> $</w:t>
            </w:r>
          </w:p>
        </w:tc>
        <w:tc>
          <w:tcPr>
            <w:tcW w:w="1789" w:type="dxa"/>
            <w:shd w:val="clear" w:color="auto" w:fill="BFBFBF" w:themeFill="background1" w:themeFillShade="BF"/>
          </w:tcPr>
          <w:p w14:paraId="67002340" w14:textId="77777777" w:rsidR="00D0416C" w:rsidRDefault="002B09DF" w:rsidP="000B60F1">
            <w:pPr>
              <w:keepNext/>
              <w:spacing w:after="0" w:line="240" w:lineRule="auto"/>
              <w:rPr>
                <w:b/>
              </w:rPr>
            </w:pPr>
            <w:r>
              <w:rPr>
                <w:b/>
              </w:rPr>
              <w:t>Amount received during reporting period</w:t>
            </w:r>
          </w:p>
          <w:p w14:paraId="0B554876" w14:textId="77777777" w:rsidR="00D0416C" w:rsidRDefault="002B09DF" w:rsidP="000B60F1">
            <w:pPr>
              <w:keepNext/>
              <w:spacing w:after="0" w:line="240" w:lineRule="auto"/>
              <w:rPr>
                <w:b/>
              </w:rPr>
            </w:pPr>
            <w:r>
              <w:rPr>
                <w:b/>
              </w:rPr>
              <w:t>$</w:t>
            </w:r>
          </w:p>
        </w:tc>
        <w:tc>
          <w:tcPr>
            <w:tcW w:w="1870" w:type="dxa"/>
            <w:shd w:val="clear" w:color="auto" w:fill="BFBFBF" w:themeFill="background1" w:themeFillShade="BF"/>
          </w:tcPr>
          <w:p w14:paraId="61C99428" w14:textId="77777777" w:rsidR="00D0416C" w:rsidRDefault="002B09DF" w:rsidP="000B60F1">
            <w:pPr>
              <w:keepNext/>
              <w:spacing w:after="0" w:line="240" w:lineRule="auto"/>
              <w:rPr>
                <w:b/>
              </w:rPr>
            </w:pPr>
            <w:r>
              <w:rPr>
                <w:b/>
              </w:rPr>
              <w:t>Total amount expended during reporting period</w:t>
            </w:r>
          </w:p>
          <w:p w14:paraId="0D45B2B4" w14:textId="77777777" w:rsidR="00D0416C" w:rsidRDefault="002B09DF" w:rsidP="000B60F1">
            <w:pPr>
              <w:keepNext/>
              <w:spacing w:after="0" w:line="240" w:lineRule="auto"/>
              <w:rPr>
                <w:b/>
              </w:rPr>
            </w:pPr>
            <w:r>
              <w:rPr>
                <w:b/>
              </w:rPr>
              <w:t>$</w:t>
            </w:r>
          </w:p>
        </w:tc>
        <w:tc>
          <w:tcPr>
            <w:tcW w:w="1870" w:type="dxa"/>
            <w:shd w:val="clear" w:color="auto" w:fill="BFBFBF" w:themeFill="background1" w:themeFillShade="BF"/>
          </w:tcPr>
          <w:p w14:paraId="45E553A5" w14:textId="77777777" w:rsidR="00D0416C" w:rsidRDefault="002B09DF" w:rsidP="000B60F1">
            <w:pPr>
              <w:keepNext/>
              <w:spacing w:after="0" w:line="240" w:lineRule="auto"/>
              <w:rPr>
                <w:b/>
              </w:rPr>
            </w:pPr>
            <w:r>
              <w:rPr>
                <w:b/>
              </w:rPr>
              <w:t>Amount expended for TBRA</w:t>
            </w:r>
          </w:p>
          <w:p w14:paraId="09C6B9E3" w14:textId="77777777" w:rsidR="00D0416C" w:rsidRDefault="002B09DF" w:rsidP="000B60F1">
            <w:pPr>
              <w:keepNext/>
              <w:spacing w:after="0" w:line="240" w:lineRule="auto"/>
              <w:rPr>
                <w:b/>
              </w:rPr>
            </w:pPr>
            <w:r>
              <w:rPr>
                <w:b/>
              </w:rPr>
              <w:t>$</w:t>
            </w:r>
          </w:p>
        </w:tc>
        <w:tc>
          <w:tcPr>
            <w:tcW w:w="1871" w:type="dxa"/>
            <w:shd w:val="clear" w:color="auto" w:fill="BFBFBF" w:themeFill="background1" w:themeFillShade="BF"/>
          </w:tcPr>
          <w:p w14:paraId="27D5DDE2" w14:textId="77777777" w:rsidR="00D0416C" w:rsidRDefault="002B09DF" w:rsidP="000B60F1">
            <w:pPr>
              <w:keepNext/>
              <w:spacing w:after="0" w:line="240" w:lineRule="auto"/>
              <w:rPr>
                <w:b/>
              </w:rPr>
            </w:pPr>
            <w:r>
              <w:rPr>
                <w:b/>
              </w:rPr>
              <w:t>Balance on hand at end of reporting period</w:t>
            </w:r>
          </w:p>
          <w:p w14:paraId="52ADE537" w14:textId="77777777" w:rsidR="00D0416C" w:rsidRDefault="002B09DF" w:rsidP="000B60F1">
            <w:pPr>
              <w:keepNext/>
              <w:spacing w:after="0" w:line="240" w:lineRule="auto"/>
              <w:rPr>
                <w:b/>
              </w:rPr>
            </w:pPr>
            <w:r>
              <w:rPr>
                <w:b/>
              </w:rPr>
              <w:t>$</w:t>
            </w:r>
          </w:p>
        </w:tc>
      </w:tr>
      <w:tr w:rsidR="00D0416C" w14:paraId="69DD3913" w14:textId="77777777" w:rsidTr="00D07211">
        <w:trPr>
          <w:cantSplit/>
        </w:trPr>
        <w:tc>
          <w:tcPr>
            <w:tcW w:w="1950" w:type="dxa"/>
          </w:tcPr>
          <w:p w14:paraId="3E2F2B8D" w14:textId="77777777" w:rsidR="00D0416C" w:rsidRPr="000042EA" w:rsidRDefault="000042EA" w:rsidP="000042EA">
            <w:pPr>
              <w:spacing w:after="0" w:line="240" w:lineRule="auto"/>
              <w:jc w:val="both"/>
              <w:rPr>
                <w:rFonts w:ascii="Tahoma" w:hAnsi="Tahoma" w:cs="Tahoma"/>
                <w:color w:val="000000"/>
                <w:sz w:val="20"/>
                <w:szCs w:val="20"/>
              </w:rPr>
            </w:pPr>
            <w:r w:rsidRPr="000042EA">
              <w:rPr>
                <w:rFonts w:ascii="Tahoma" w:hAnsi="Tahoma" w:cs="Tahoma"/>
                <w:color w:val="000000"/>
                <w:sz w:val="20"/>
                <w:szCs w:val="20"/>
              </w:rPr>
              <w:t>$43,921.26</w:t>
            </w:r>
          </w:p>
        </w:tc>
        <w:tc>
          <w:tcPr>
            <w:tcW w:w="1789" w:type="dxa"/>
          </w:tcPr>
          <w:p w14:paraId="32A69D5C" w14:textId="77777777" w:rsidR="000042EA" w:rsidRPr="000042EA" w:rsidRDefault="000042EA" w:rsidP="000042EA">
            <w:pPr>
              <w:spacing w:after="0" w:line="240" w:lineRule="auto"/>
              <w:jc w:val="both"/>
              <w:rPr>
                <w:rFonts w:ascii="Tahoma" w:hAnsi="Tahoma" w:cs="Tahoma"/>
                <w:color w:val="000000"/>
                <w:sz w:val="20"/>
                <w:szCs w:val="20"/>
              </w:rPr>
            </w:pPr>
            <w:r w:rsidRPr="000042EA">
              <w:rPr>
                <w:rFonts w:ascii="Tahoma" w:hAnsi="Tahoma" w:cs="Tahoma"/>
                <w:color w:val="000000"/>
                <w:sz w:val="20"/>
                <w:szCs w:val="20"/>
              </w:rPr>
              <w:t>$15,566.10</w:t>
            </w:r>
          </w:p>
          <w:p w14:paraId="3CEFA3CB" w14:textId="77777777" w:rsidR="00D0416C" w:rsidRDefault="00D0416C" w:rsidP="00CB2046">
            <w:pPr>
              <w:keepNext/>
              <w:widowControl w:val="0"/>
              <w:spacing w:after="0" w:line="240" w:lineRule="auto"/>
              <w:jc w:val="both"/>
              <w:rPr>
                <w:b/>
              </w:rPr>
            </w:pPr>
          </w:p>
        </w:tc>
        <w:tc>
          <w:tcPr>
            <w:tcW w:w="1870" w:type="dxa"/>
          </w:tcPr>
          <w:p w14:paraId="506B86A0" w14:textId="77777777" w:rsidR="00D0416C" w:rsidRPr="000042EA" w:rsidRDefault="000042EA" w:rsidP="00CB2046">
            <w:pPr>
              <w:keepNext/>
              <w:widowControl w:val="0"/>
              <w:spacing w:after="0" w:line="240" w:lineRule="auto"/>
              <w:jc w:val="both"/>
              <w:rPr>
                <w:bCs/>
              </w:rPr>
            </w:pPr>
            <w:r w:rsidRPr="000042EA">
              <w:rPr>
                <w:bCs/>
              </w:rPr>
              <w:t>$53,562.80</w:t>
            </w:r>
          </w:p>
        </w:tc>
        <w:tc>
          <w:tcPr>
            <w:tcW w:w="1870" w:type="dxa"/>
          </w:tcPr>
          <w:p w14:paraId="481886D6" w14:textId="77777777" w:rsidR="000042EA" w:rsidRDefault="000042EA" w:rsidP="000042EA">
            <w:pPr>
              <w:spacing w:after="0" w:line="240" w:lineRule="auto"/>
              <w:jc w:val="both"/>
              <w:rPr>
                <w:rFonts w:ascii="Tahoma" w:hAnsi="Tahoma" w:cs="Tahoma"/>
                <w:color w:val="000000"/>
                <w:sz w:val="20"/>
                <w:szCs w:val="20"/>
              </w:rPr>
            </w:pPr>
            <w:r>
              <w:rPr>
                <w:rFonts w:ascii="Tahoma" w:hAnsi="Tahoma" w:cs="Tahoma"/>
                <w:color w:val="000000"/>
                <w:sz w:val="20"/>
                <w:szCs w:val="20"/>
              </w:rPr>
              <w:t>$7,641.54</w:t>
            </w:r>
          </w:p>
          <w:p w14:paraId="6FF989FE" w14:textId="77777777" w:rsidR="00D0416C" w:rsidRDefault="00D0416C" w:rsidP="00CB2046">
            <w:pPr>
              <w:keepNext/>
              <w:widowControl w:val="0"/>
              <w:spacing w:after="0" w:line="240" w:lineRule="auto"/>
              <w:jc w:val="both"/>
              <w:rPr>
                <w:b/>
              </w:rPr>
            </w:pPr>
          </w:p>
        </w:tc>
        <w:tc>
          <w:tcPr>
            <w:tcW w:w="1871" w:type="dxa"/>
          </w:tcPr>
          <w:p w14:paraId="532FD5B3" w14:textId="77777777" w:rsidR="000042EA" w:rsidRPr="000042EA" w:rsidRDefault="000042EA" w:rsidP="000042EA">
            <w:pPr>
              <w:spacing w:after="0" w:line="240" w:lineRule="auto"/>
              <w:jc w:val="both"/>
              <w:rPr>
                <w:rFonts w:ascii="Tahoma" w:hAnsi="Tahoma" w:cs="Tahoma"/>
                <w:color w:val="000000"/>
                <w:sz w:val="20"/>
                <w:szCs w:val="20"/>
              </w:rPr>
            </w:pPr>
            <w:r w:rsidRPr="000042EA">
              <w:rPr>
                <w:rFonts w:ascii="Tahoma" w:hAnsi="Tahoma" w:cs="Tahoma"/>
                <w:color w:val="000000"/>
                <w:sz w:val="20"/>
                <w:szCs w:val="20"/>
              </w:rPr>
              <w:t>$7,924.56</w:t>
            </w:r>
          </w:p>
          <w:p w14:paraId="6D261AC0" w14:textId="77777777" w:rsidR="00D0416C" w:rsidRDefault="00D0416C" w:rsidP="00CB2046">
            <w:pPr>
              <w:keepNext/>
              <w:widowControl w:val="0"/>
              <w:spacing w:after="0" w:line="240" w:lineRule="auto"/>
              <w:jc w:val="both"/>
              <w:rPr>
                <w:b/>
              </w:rPr>
            </w:pPr>
          </w:p>
        </w:tc>
      </w:tr>
    </w:tbl>
    <w:p w14:paraId="66E37B85" w14:textId="77777777" w:rsidR="00D0416C" w:rsidRDefault="002B09DF" w:rsidP="00CB2046">
      <w:pPr>
        <w:pStyle w:val="Caption"/>
        <w:jc w:val="both"/>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65EF1">
        <w:rPr>
          <w:rFonts w:asciiTheme="minorHAnsi" w:hAnsiTheme="minorHAnsi"/>
          <w:noProof/>
        </w:rPr>
        <w:t>7</w:t>
      </w:r>
      <w:r>
        <w:rPr>
          <w:rFonts w:asciiTheme="minorHAnsi" w:hAnsiTheme="minorHAnsi"/>
        </w:rPr>
        <w:fldChar w:fldCharType="end"/>
      </w:r>
      <w:r>
        <w:rPr>
          <w:rFonts w:asciiTheme="minorHAnsi" w:hAnsiTheme="minorHAnsi"/>
        </w:rPr>
        <w:t xml:space="preserve"> – Program Income</w:t>
      </w:r>
    </w:p>
    <w:p w14:paraId="4006938E" w14:textId="77777777" w:rsidR="00D0416C" w:rsidRDefault="00D0416C" w:rsidP="00CB2046">
      <w:pPr>
        <w:widowControl w:val="0"/>
        <w:spacing w:after="0" w:line="240" w:lineRule="auto"/>
        <w:jc w:val="both"/>
        <w:rPr>
          <w:b/>
          <w:sz w:val="20"/>
          <w:szCs w:val="20"/>
        </w:rPr>
      </w:pPr>
    </w:p>
    <w:p w14:paraId="57577A30" w14:textId="77777777" w:rsidR="00D0416C" w:rsidRDefault="00D0416C" w:rsidP="00CB2046">
      <w:pPr>
        <w:widowControl w:val="0"/>
        <w:spacing w:after="0" w:line="240" w:lineRule="auto"/>
        <w:jc w:val="both"/>
        <w:rPr>
          <w:b/>
          <w:sz w:val="20"/>
          <w:szCs w:val="20"/>
        </w:rPr>
        <w:sectPr w:rsidR="00D0416C" w:rsidSect="00365EF1">
          <w:type w:val="continuous"/>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416C" w14:paraId="1B578C3C" w14:textId="77777777" w:rsidTr="00D07211">
        <w:tc>
          <w:tcPr>
            <w:tcW w:w="9576" w:type="dxa"/>
            <w:shd w:val="clear" w:color="auto" w:fill="BFBFBF" w:themeFill="background1" w:themeFillShade="BF"/>
          </w:tcPr>
          <w:p w14:paraId="51F767D7" w14:textId="77777777" w:rsidR="00D0416C" w:rsidRDefault="002B09DF" w:rsidP="00CB2046">
            <w:pPr>
              <w:keepNext/>
              <w:widowControl w:val="0"/>
              <w:spacing w:after="0" w:line="240" w:lineRule="auto"/>
              <w:jc w:val="both"/>
              <w:rPr>
                <w:b/>
              </w:rPr>
            </w:pPr>
            <w:r>
              <w:rPr>
                <w:b/>
              </w:rPr>
              <w:lastRenderedPageBreak/>
              <w:t xml:space="preserve">Minority Business Enterprises and Women Business Enterprises – </w:t>
            </w:r>
            <w:r>
              <w:t>Indicate the number and dollar value of contracts for HOME projects completed during the reporting period</w:t>
            </w:r>
          </w:p>
        </w:tc>
      </w:tr>
    </w:tbl>
    <w:p w14:paraId="08AB8735" w14:textId="77777777" w:rsidR="00D0416C" w:rsidRDefault="00D0416C" w:rsidP="00CB2046">
      <w:pPr>
        <w:keepNext/>
        <w:widowControl w:val="0"/>
        <w:spacing w:after="0" w:line="240" w:lineRule="auto"/>
        <w:jc w:val="both"/>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D0416C" w14:paraId="4325FB63" w14:textId="77777777">
        <w:trPr>
          <w:cantSplit/>
        </w:trPr>
        <w:tc>
          <w:tcPr>
            <w:tcW w:w="1368" w:type="dxa"/>
            <w:vMerge w:val="restart"/>
          </w:tcPr>
          <w:p w14:paraId="376EB294" w14:textId="77777777" w:rsidR="00D0416C" w:rsidRDefault="00D0416C" w:rsidP="00CB2046">
            <w:pPr>
              <w:keepNext/>
              <w:widowControl w:val="0"/>
              <w:spacing w:after="0" w:line="240" w:lineRule="auto"/>
              <w:jc w:val="both"/>
              <w:rPr>
                <w:b/>
              </w:rPr>
            </w:pPr>
          </w:p>
        </w:tc>
        <w:tc>
          <w:tcPr>
            <w:tcW w:w="1368" w:type="dxa"/>
            <w:vMerge w:val="restart"/>
          </w:tcPr>
          <w:p w14:paraId="2CC5A5B1" w14:textId="77777777" w:rsidR="00D0416C" w:rsidRDefault="002B09DF" w:rsidP="00CB2046">
            <w:pPr>
              <w:keepNext/>
              <w:widowControl w:val="0"/>
              <w:spacing w:after="0" w:line="240" w:lineRule="auto"/>
              <w:jc w:val="both"/>
              <w:rPr>
                <w:b/>
              </w:rPr>
            </w:pPr>
            <w:r>
              <w:rPr>
                <w:b/>
              </w:rPr>
              <w:t>Total</w:t>
            </w:r>
          </w:p>
        </w:tc>
        <w:tc>
          <w:tcPr>
            <w:tcW w:w="5472" w:type="dxa"/>
            <w:gridSpan w:val="4"/>
          </w:tcPr>
          <w:p w14:paraId="35724D8B" w14:textId="77777777" w:rsidR="00D0416C" w:rsidRDefault="002B09DF" w:rsidP="00CB2046">
            <w:pPr>
              <w:keepNext/>
              <w:widowControl w:val="0"/>
              <w:spacing w:after="0" w:line="240" w:lineRule="auto"/>
              <w:jc w:val="both"/>
              <w:rPr>
                <w:b/>
              </w:rPr>
            </w:pPr>
            <w:r>
              <w:rPr>
                <w:b/>
              </w:rPr>
              <w:t>Minority Business Enterprises</w:t>
            </w:r>
          </w:p>
        </w:tc>
        <w:tc>
          <w:tcPr>
            <w:tcW w:w="1368" w:type="dxa"/>
            <w:vMerge w:val="restart"/>
          </w:tcPr>
          <w:p w14:paraId="7D15A9F4" w14:textId="77777777" w:rsidR="00D0416C" w:rsidRDefault="002B09DF" w:rsidP="00CB2046">
            <w:pPr>
              <w:keepNext/>
              <w:widowControl w:val="0"/>
              <w:spacing w:after="0" w:line="240" w:lineRule="auto"/>
              <w:jc w:val="both"/>
              <w:rPr>
                <w:b/>
              </w:rPr>
            </w:pPr>
            <w:r>
              <w:rPr>
                <w:b/>
              </w:rPr>
              <w:t>White Non-Hispanic</w:t>
            </w:r>
          </w:p>
        </w:tc>
      </w:tr>
      <w:tr w:rsidR="00D0416C" w14:paraId="2CF35BA3" w14:textId="77777777">
        <w:trPr>
          <w:cantSplit/>
        </w:trPr>
        <w:tc>
          <w:tcPr>
            <w:tcW w:w="1368" w:type="dxa"/>
            <w:vMerge/>
          </w:tcPr>
          <w:p w14:paraId="2329E7A6" w14:textId="77777777" w:rsidR="00D0416C" w:rsidRDefault="00D0416C" w:rsidP="00CB2046">
            <w:pPr>
              <w:keepNext/>
              <w:widowControl w:val="0"/>
              <w:spacing w:after="0" w:line="240" w:lineRule="auto"/>
              <w:jc w:val="both"/>
              <w:rPr>
                <w:b/>
              </w:rPr>
            </w:pPr>
          </w:p>
        </w:tc>
        <w:tc>
          <w:tcPr>
            <w:tcW w:w="1368" w:type="dxa"/>
            <w:vMerge/>
          </w:tcPr>
          <w:p w14:paraId="19A88740" w14:textId="77777777" w:rsidR="00D0416C" w:rsidRDefault="00D0416C" w:rsidP="00CB2046">
            <w:pPr>
              <w:keepNext/>
              <w:widowControl w:val="0"/>
              <w:spacing w:after="0" w:line="240" w:lineRule="auto"/>
              <w:jc w:val="both"/>
              <w:rPr>
                <w:b/>
              </w:rPr>
            </w:pPr>
          </w:p>
        </w:tc>
        <w:tc>
          <w:tcPr>
            <w:tcW w:w="1368" w:type="dxa"/>
          </w:tcPr>
          <w:p w14:paraId="715961B6" w14:textId="77777777" w:rsidR="00D0416C" w:rsidRDefault="002B09DF" w:rsidP="00CB2046">
            <w:pPr>
              <w:keepNext/>
              <w:spacing w:after="0" w:line="240" w:lineRule="auto"/>
              <w:jc w:val="both"/>
              <w:rPr>
                <w:b/>
              </w:rPr>
            </w:pPr>
            <w:r>
              <w:rPr>
                <w:b/>
              </w:rPr>
              <w:t>Alaskan Native or American Indian</w:t>
            </w:r>
          </w:p>
        </w:tc>
        <w:tc>
          <w:tcPr>
            <w:tcW w:w="1368" w:type="dxa"/>
          </w:tcPr>
          <w:p w14:paraId="0D067D8E" w14:textId="77777777" w:rsidR="00D0416C" w:rsidRDefault="002B09DF" w:rsidP="00CB2046">
            <w:pPr>
              <w:keepNext/>
              <w:widowControl w:val="0"/>
              <w:spacing w:after="0" w:line="240" w:lineRule="auto"/>
              <w:jc w:val="both"/>
              <w:rPr>
                <w:b/>
              </w:rPr>
            </w:pPr>
            <w:r>
              <w:rPr>
                <w:b/>
              </w:rPr>
              <w:t>Asian or Pacific Islander</w:t>
            </w:r>
          </w:p>
        </w:tc>
        <w:tc>
          <w:tcPr>
            <w:tcW w:w="1368" w:type="dxa"/>
          </w:tcPr>
          <w:p w14:paraId="4D0B5C92" w14:textId="77777777" w:rsidR="00D0416C" w:rsidRDefault="002B09DF" w:rsidP="00CB2046">
            <w:pPr>
              <w:keepNext/>
              <w:widowControl w:val="0"/>
              <w:spacing w:after="0" w:line="240" w:lineRule="auto"/>
              <w:jc w:val="both"/>
              <w:rPr>
                <w:b/>
              </w:rPr>
            </w:pPr>
            <w:r>
              <w:rPr>
                <w:b/>
              </w:rPr>
              <w:t>Black Non-Hispanic</w:t>
            </w:r>
          </w:p>
        </w:tc>
        <w:tc>
          <w:tcPr>
            <w:tcW w:w="1368" w:type="dxa"/>
          </w:tcPr>
          <w:p w14:paraId="47EB186B" w14:textId="77777777" w:rsidR="00D0416C" w:rsidRDefault="002B09DF" w:rsidP="00CB2046">
            <w:pPr>
              <w:keepNext/>
              <w:widowControl w:val="0"/>
              <w:spacing w:after="0" w:line="240" w:lineRule="auto"/>
              <w:jc w:val="both"/>
              <w:rPr>
                <w:b/>
              </w:rPr>
            </w:pPr>
            <w:r>
              <w:rPr>
                <w:b/>
              </w:rPr>
              <w:t>Hispanic</w:t>
            </w:r>
          </w:p>
        </w:tc>
        <w:tc>
          <w:tcPr>
            <w:tcW w:w="1368" w:type="dxa"/>
            <w:vMerge/>
          </w:tcPr>
          <w:p w14:paraId="2114905F" w14:textId="77777777" w:rsidR="00D0416C" w:rsidRDefault="00D0416C" w:rsidP="00CB2046">
            <w:pPr>
              <w:keepNext/>
              <w:widowControl w:val="0"/>
              <w:spacing w:after="0" w:line="240" w:lineRule="auto"/>
              <w:jc w:val="both"/>
              <w:rPr>
                <w:b/>
              </w:rPr>
            </w:pPr>
          </w:p>
        </w:tc>
      </w:tr>
    </w:tbl>
    <w:p w14:paraId="0F0F4EDD" w14:textId="77777777" w:rsidR="00D0416C" w:rsidRDefault="00D0416C" w:rsidP="00CB2046">
      <w:pPr>
        <w:keepNext/>
        <w:widowControl w:val="0"/>
        <w:spacing w:after="0" w:line="240" w:lineRule="auto"/>
        <w:jc w:val="both"/>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D0416C" w14:paraId="1B71BE5D" w14:textId="77777777">
        <w:trPr>
          <w:cantSplit/>
        </w:trPr>
        <w:tc>
          <w:tcPr>
            <w:tcW w:w="9576" w:type="dxa"/>
            <w:gridSpan w:val="7"/>
          </w:tcPr>
          <w:p w14:paraId="5951352C" w14:textId="77777777" w:rsidR="00D0416C" w:rsidRDefault="002B09DF" w:rsidP="00CB2046">
            <w:pPr>
              <w:keepNext/>
              <w:widowControl w:val="0"/>
              <w:spacing w:after="0" w:line="240" w:lineRule="auto"/>
              <w:jc w:val="both"/>
              <w:rPr>
                <w:b/>
              </w:rPr>
            </w:pPr>
            <w:r>
              <w:rPr>
                <w:b/>
              </w:rPr>
              <w:t>Contracts</w:t>
            </w:r>
          </w:p>
        </w:tc>
      </w:tr>
      <w:tr w:rsidR="00D0416C" w14:paraId="4EAA634D" w14:textId="77777777">
        <w:trPr>
          <w:cantSplit/>
          <w:hidden/>
        </w:trPr>
        <w:tc>
          <w:tcPr>
            <w:tcW w:w="1368" w:type="dxa"/>
          </w:tcPr>
          <w:p w14:paraId="75A0C668" w14:textId="77777777" w:rsidR="00D0416C" w:rsidRDefault="00D0416C" w:rsidP="00CB2046">
            <w:pPr>
              <w:keepNext/>
              <w:widowControl w:val="0"/>
              <w:spacing w:after="0" w:line="240" w:lineRule="auto"/>
              <w:jc w:val="both"/>
              <w:rPr>
                <w:b/>
                <w:vanish/>
              </w:rPr>
            </w:pPr>
          </w:p>
        </w:tc>
        <w:tc>
          <w:tcPr>
            <w:tcW w:w="1368" w:type="dxa"/>
          </w:tcPr>
          <w:p w14:paraId="33E86EB4" w14:textId="77777777" w:rsidR="00D0416C" w:rsidRDefault="00D0416C" w:rsidP="00CB2046">
            <w:pPr>
              <w:keepNext/>
              <w:widowControl w:val="0"/>
              <w:spacing w:after="0" w:line="240" w:lineRule="auto"/>
              <w:jc w:val="both"/>
              <w:rPr>
                <w:b/>
                <w:vanish/>
              </w:rPr>
            </w:pPr>
          </w:p>
        </w:tc>
        <w:tc>
          <w:tcPr>
            <w:tcW w:w="1368" w:type="dxa"/>
          </w:tcPr>
          <w:p w14:paraId="76EBD105" w14:textId="77777777" w:rsidR="00D0416C" w:rsidRDefault="00D0416C" w:rsidP="00CB2046">
            <w:pPr>
              <w:keepNext/>
              <w:widowControl w:val="0"/>
              <w:spacing w:after="0" w:line="240" w:lineRule="auto"/>
              <w:jc w:val="both"/>
              <w:rPr>
                <w:b/>
                <w:vanish/>
              </w:rPr>
            </w:pPr>
          </w:p>
        </w:tc>
        <w:tc>
          <w:tcPr>
            <w:tcW w:w="1368" w:type="dxa"/>
          </w:tcPr>
          <w:p w14:paraId="4FBEA0A8" w14:textId="77777777" w:rsidR="00D0416C" w:rsidRDefault="00D0416C" w:rsidP="00CB2046">
            <w:pPr>
              <w:keepNext/>
              <w:widowControl w:val="0"/>
              <w:spacing w:after="0" w:line="240" w:lineRule="auto"/>
              <w:jc w:val="both"/>
              <w:rPr>
                <w:b/>
                <w:vanish/>
              </w:rPr>
            </w:pPr>
          </w:p>
        </w:tc>
        <w:tc>
          <w:tcPr>
            <w:tcW w:w="1368" w:type="dxa"/>
          </w:tcPr>
          <w:p w14:paraId="5F261FFA" w14:textId="77777777" w:rsidR="00D0416C" w:rsidRDefault="00D0416C" w:rsidP="00CB2046">
            <w:pPr>
              <w:keepNext/>
              <w:widowControl w:val="0"/>
              <w:spacing w:after="0" w:line="240" w:lineRule="auto"/>
              <w:jc w:val="both"/>
              <w:rPr>
                <w:b/>
                <w:vanish/>
              </w:rPr>
            </w:pPr>
          </w:p>
        </w:tc>
        <w:tc>
          <w:tcPr>
            <w:tcW w:w="1368" w:type="dxa"/>
          </w:tcPr>
          <w:p w14:paraId="54A59695" w14:textId="77777777" w:rsidR="00D0416C" w:rsidRDefault="00D0416C" w:rsidP="00CB2046">
            <w:pPr>
              <w:keepNext/>
              <w:widowControl w:val="0"/>
              <w:spacing w:after="0" w:line="240" w:lineRule="auto"/>
              <w:jc w:val="both"/>
              <w:rPr>
                <w:b/>
                <w:vanish/>
              </w:rPr>
            </w:pPr>
          </w:p>
        </w:tc>
        <w:tc>
          <w:tcPr>
            <w:tcW w:w="1368" w:type="dxa"/>
          </w:tcPr>
          <w:p w14:paraId="6F8EA705" w14:textId="77777777" w:rsidR="00D0416C" w:rsidRDefault="00D0416C" w:rsidP="00CB2046">
            <w:pPr>
              <w:keepNext/>
              <w:widowControl w:val="0"/>
              <w:spacing w:after="0" w:line="240" w:lineRule="auto"/>
              <w:jc w:val="both"/>
              <w:rPr>
                <w:b/>
                <w:vanish/>
              </w:rPr>
            </w:pPr>
          </w:p>
        </w:tc>
      </w:tr>
      <w:tr w:rsidR="00D0416C" w14:paraId="4B4E3293" w14:textId="77777777">
        <w:trPr>
          <w:cantSplit/>
        </w:trPr>
        <w:tc>
          <w:tcPr>
            <w:tcW w:w="1368" w:type="dxa"/>
          </w:tcPr>
          <w:p w14:paraId="79B05DCE" w14:textId="77777777" w:rsidR="00D0416C" w:rsidRDefault="002B09DF" w:rsidP="00CB2046">
            <w:pPr>
              <w:keepNext/>
              <w:widowControl w:val="0"/>
              <w:spacing w:after="0" w:line="240" w:lineRule="auto"/>
              <w:jc w:val="both"/>
            </w:pPr>
            <w:r>
              <w:t>Number</w:t>
            </w:r>
          </w:p>
        </w:tc>
        <w:tc>
          <w:tcPr>
            <w:tcW w:w="1368" w:type="dxa"/>
          </w:tcPr>
          <w:p w14:paraId="7E0BAA0F" w14:textId="77777777" w:rsidR="00D0416C" w:rsidRDefault="000042EA" w:rsidP="00CB2046">
            <w:pPr>
              <w:keepNext/>
              <w:widowControl w:val="0"/>
              <w:spacing w:after="0" w:line="240" w:lineRule="auto"/>
              <w:jc w:val="both"/>
            </w:pPr>
            <w:r>
              <w:t>14</w:t>
            </w:r>
          </w:p>
        </w:tc>
        <w:tc>
          <w:tcPr>
            <w:tcW w:w="1368" w:type="dxa"/>
          </w:tcPr>
          <w:p w14:paraId="2087F5F7" w14:textId="77777777" w:rsidR="00D0416C" w:rsidRDefault="00D0416C" w:rsidP="00CB2046">
            <w:pPr>
              <w:keepNext/>
              <w:widowControl w:val="0"/>
              <w:spacing w:after="0" w:line="240" w:lineRule="auto"/>
              <w:jc w:val="both"/>
            </w:pPr>
          </w:p>
        </w:tc>
        <w:tc>
          <w:tcPr>
            <w:tcW w:w="1368" w:type="dxa"/>
          </w:tcPr>
          <w:p w14:paraId="1AF3C998" w14:textId="77777777" w:rsidR="00D0416C" w:rsidRDefault="00D0416C" w:rsidP="00CB2046">
            <w:pPr>
              <w:keepNext/>
              <w:widowControl w:val="0"/>
              <w:spacing w:after="0" w:line="240" w:lineRule="auto"/>
              <w:jc w:val="both"/>
            </w:pPr>
          </w:p>
        </w:tc>
        <w:tc>
          <w:tcPr>
            <w:tcW w:w="1368" w:type="dxa"/>
          </w:tcPr>
          <w:p w14:paraId="15897CED" w14:textId="77777777" w:rsidR="00D0416C" w:rsidRDefault="000042EA" w:rsidP="00CB2046">
            <w:pPr>
              <w:keepNext/>
              <w:widowControl w:val="0"/>
              <w:spacing w:after="0" w:line="240" w:lineRule="auto"/>
              <w:jc w:val="both"/>
            </w:pPr>
            <w:r>
              <w:t>4</w:t>
            </w:r>
          </w:p>
        </w:tc>
        <w:tc>
          <w:tcPr>
            <w:tcW w:w="1368" w:type="dxa"/>
          </w:tcPr>
          <w:p w14:paraId="568A461F" w14:textId="77777777" w:rsidR="00D0416C" w:rsidRDefault="000042EA" w:rsidP="00CB2046">
            <w:pPr>
              <w:keepNext/>
              <w:widowControl w:val="0"/>
              <w:spacing w:after="0" w:line="240" w:lineRule="auto"/>
              <w:jc w:val="both"/>
            </w:pPr>
            <w:r>
              <w:t>3</w:t>
            </w:r>
          </w:p>
        </w:tc>
        <w:tc>
          <w:tcPr>
            <w:tcW w:w="1368" w:type="dxa"/>
          </w:tcPr>
          <w:p w14:paraId="11B0EBAE" w14:textId="77777777" w:rsidR="00D0416C" w:rsidRDefault="00D0416C" w:rsidP="00CB2046">
            <w:pPr>
              <w:keepNext/>
              <w:widowControl w:val="0"/>
              <w:spacing w:after="0" w:line="240" w:lineRule="auto"/>
              <w:jc w:val="both"/>
            </w:pPr>
          </w:p>
        </w:tc>
      </w:tr>
      <w:tr w:rsidR="00D0416C" w14:paraId="02975D58" w14:textId="77777777">
        <w:trPr>
          <w:cantSplit/>
        </w:trPr>
        <w:tc>
          <w:tcPr>
            <w:tcW w:w="1368" w:type="dxa"/>
          </w:tcPr>
          <w:p w14:paraId="11F70C5E" w14:textId="77777777" w:rsidR="00D0416C" w:rsidRDefault="002B09DF" w:rsidP="00CB2046">
            <w:pPr>
              <w:keepNext/>
              <w:widowControl w:val="0"/>
              <w:spacing w:after="0" w:line="240" w:lineRule="auto"/>
              <w:jc w:val="both"/>
            </w:pPr>
            <w:r>
              <w:t>Dollar Amount</w:t>
            </w:r>
          </w:p>
        </w:tc>
        <w:tc>
          <w:tcPr>
            <w:tcW w:w="1368" w:type="dxa"/>
          </w:tcPr>
          <w:p w14:paraId="4DA23941" w14:textId="77777777" w:rsidR="00D0416C" w:rsidRDefault="000B60F1" w:rsidP="00CB2046">
            <w:pPr>
              <w:keepNext/>
              <w:widowControl w:val="0"/>
              <w:spacing w:after="0" w:line="240" w:lineRule="auto"/>
              <w:jc w:val="both"/>
            </w:pPr>
            <w:r w:rsidRPr="000B60F1">
              <w:rPr>
                <w:sz w:val="20"/>
                <w:szCs w:val="20"/>
              </w:rPr>
              <w:t>$ 374,278.82</w:t>
            </w:r>
          </w:p>
        </w:tc>
        <w:tc>
          <w:tcPr>
            <w:tcW w:w="1368" w:type="dxa"/>
          </w:tcPr>
          <w:p w14:paraId="637B5AE9" w14:textId="77777777" w:rsidR="00D0416C" w:rsidRDefault="00D0416C" w:rsidP="00CB2046">
            <w:pPr>
              <w:keepNext/>
              <w:widowControl w:val="0"/>
              <w:spacing w:after="0" w:line="240" w:lineRule="auto"/>
              <w:jc w:val="both"/>
            </w:pPr>
          </w:p>
        </w:tc>
        <w:tc>
          <w:tcPr>
            <w:tcW w:w="1368" w:type="dxa"/>
          </w:tcPr>
          <w:p w14:paraId="0E5B96DB" w14:textId="77777777" w:rsidR="00D0416C" w:rsidRDefault="00D0416C" w:rsidP="00CB2046">
            <w:pPr>
              <w:keepNext/>
              <w:widowControl w:val="0"/>
              <w:spacing w:after="0" w:line="240" w:lineRule="auto"/>
              <w:jc w:val="both"/>
            </w:pPr>
          </w:p>
        </w:tc>
        <w:tc>
          <w:tcPr>
            <w:tcW w:w="1368" w:type="dxa"/>
          </w:tcPr>
          <w:p w14:paraId="6AB70CD9" w14:textId="77777777" w:rsidR="00D0416C" w:rsidRDefault="000B60F1" w:rsidP="00CB2046">
            <w:pPr>
              <w:keepNext/>
              <w:widowControl w:val="0"/>
              <w:spacing w:after="0" w:line="240" w:lineRule="auto"/>
              <w:jc w:val="both"/>
            </w:pPr>
            <w:r>
              <w:t>$46,028.32</w:t>
            </w:r>
          </w:p>
        </w:tc>
        <w:tc>
          <w:tcPr>
            <w:tcW w:w="1368" w:type="dxa"/>
          </w:tcPr>
          <w:p w14:paraId="0B74D101" w14:textId="77777777" w:rsidR="00D0416C" w:rsidRDefault="000B60F1" w:rsidP="00CB2046">
            <w:pPr>
              <w:keepNext/>
              <w:widowControl w:val="0"/>
              <w:spacing w:after="0" w:line="240" w:lineRule="auto"/>
              <w:jc w:val="both"/>
            </w:pPr>
            <w:r>
              <w:t>$22,953</w:t>
            </w:r>
            <w:r w:rsidR="00EC7071">
              <w:t>.00</w:t>
            </w:r>
          </w:p>
        </w:tc>
        <w:tc>
          <w:tcPr>
            <w:tcW w:w="1368" w:type="dxa"/>
          </w:tcPr>
          <w:p w14:paraId="1B82C39F" w14:textId="77777777" w:rsidR="00D0416C" w:rsidRDefault="00D0416C" w:rsidP="00CB2046">
            <w:pPr>
              <w:keepNext/>
              <w:widowControl w:val="0"/>
              <w:spacing w:after="0" w:line="240" w:lineRule="auto"/>
              <w:jc w:val="both"/>
            </w:pPr>
          </w:p>
        </w:tc>
      </w:tr>
    </w:tbl>
    <w:p w14:paraId="03E49D63" w14:textId="77777777" w:rsidR="00D0416C" w:rsidRDefault="00D0416C" w:rsidP="00CB2046">
      <w:pPr>
        <w:keepNext/>
        <w:widowControl w:val="0"/>
        <w:spacing w:after="0" w:line="240" w:lineRule="auto"/>
        <w:jc w:val="both"/>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D0416C" w14:paraId="05750F5B" w14:textId="77777777">
        <w:trPr>
          <w:cantSplit/>
        </w:trPr>
        <w:tc>
          <w:tcPr>
            <w:tcW w:w="9576" w:type="dxa"/>
            <w:gridSpan w:val="7"/>
          </w:tcPr>
          <w:p w14:paraId="74769D14" w14:textId="77777777" w:rsidR="00D0416C" w:rsidRDefault="002B09DF" w:rsidP="00CB2046">
            <w:pPr>
              <w:keepNext/>
              <w:widowControl w:val="0"/>
              <w:spacing w:after="0" w:line="240" w:lineRule="auto"/>
              <w:jc w:val="both"/>
              <w:rPr>
                <w:b/>
              </w:rPr>
            </w:pPr>
            <w:r>
              <w:rPr>
                <w:b/>
              </w:rPr>
              <w:t>Sub-Contracts</w:t>
            </w:r>
          </w:p>
        </w:tc>
      </w:tr>
      <w:tr w:rsidR="00D0416C" w14:paraId="238FA276" w14:textId="77777777">
        <w:trPr>
          <w:cantSplit/>
          <w:hidden/>
        </w:trPr>
        <w:tc>
          <w:tcPr>
            <w:tcW w:w="1368" w:type="dxa"/>
          </w:tcPr>
          <w:p w14:paraId="76DACD6D" w14:textId="77777777" w:rsidR="00D0416C" w:rsidRDefault="00D0416C" w:rsidP="00CB2046">
            <w:pPr>
              <w:keepNext/>
              <w:widowControl w:val="0"/>
              <w:spacing w:after="0" w:line="240" w:lineRule="auto"/>
              <w:jc w:val="both"/>
              <w:rPr>
                <w:b/>
                <w:vanish/>
              </w:rPr>
            </w:pPr>
          </w:p>
        </w:tc>
        <w:tc>
          <w:tcPr>
            <w:tcW w:w="1368" w:type="dxa"/>
          </w:tcPr>
          <w:p w14:paraId="4307D7B7" w14:textId="77777777" w:rsidR="00D0416C" w:rsidRDefault="00D0416C" w:rsidP="00CB2046">
            <w:pPr>
              <w:keepNext/>
              <w:widowControl w:val="0"/>
              <w:spacing w:after="0" w:line="240" w:lineRule="auto"/>
              <w:jc w:val="both"/>
              <w:rPr>
                <w:b/>
                <w:vanish/>
              </w:rPr>
            </w:pPr>
          </w:p>
        </w:tc>
        <w:tc>
          <w:tcPr>
            <w:tcW w:w="1368" w:type="dxa"/>
          </w:tcPr>
          <w:p w14:paraId="1EEB70E8" w14:textId="77777777" w:rsidR="00D0416C" w:rsidRDefault="00D0416C" w:rsidP="00CB2046">
            <w:pPr>
              <w:keepNext/>
              <w:widowControl w:val="0"/>
              <w:spacing w:after="0" w:line="240" w:lineRule="auto"/>
              <w:jc w:val="both"/>
              <w:rPr>
                <w:b/>
                <w:vanish/>
              </w:rPr>
            </w:pPr>
          </w:p>
        </w:tc>
        <w:tc>
          <w:tcPr>
            <w:tcW w:w="1368" w:type="dxa"/>
          </w:tcPr>
          <w:p w14:paraId="49573D90" w14:textId="77777777" w:rsidR="00D0416C" w:rsidRDefault="00D0416C" w:rsidP="00CB2046">
            <w:pPr>
              <w:keepNext/>
              <w:widowControl w:val="0"/>
              <w:spacing w:after="0" w:line="240" w:lineRule="auto"/>
              <w:jc w:val="both"/>
              <w:rPr>
                <w:b/>
                <w:vanish/>
              </w:rPr>
            </w:pPr>
          </w:p>
        </w:tc>
        <w:tc>
          <w:tcPr>
            <w:tcW w:w="1368" w:type="dxa"/>
          </w:tcPr>
          <w:p w14:paraId="32E18984" w14:textId="77777777" w:rsidR="00D0416C" w:rsidRDefault="00D0416C" w:rsidP="00CB2046">
            <w:pPr>
              <w:keepNext/>
              <w:widowControl w:val="0"/>
              <w:spacing w:after="0" w:line="240" w:lineRule="auto"/>
              <w:jc w:val="both"/>
              <w:rPr>
                <w:b/>
                <w:vanish/>
              </w:rPr>
            </w:pPr>
          </w:p>
        </w:tc>
        <w:tc>
          <w:tcPr>
            <w:tcW w:w="1368" w:type="dxa"/>
          </w:tcPr>
          <w:p w14:paraId="11655C61" w14:textId="77777777" w:rsidR="00D0416C" w:rsidRDefault="00D0416C" w:rsidP="00CB2046">
            <w:pPr>
              <w:keepNext/>
              <w:widowControl w:val="0"/>
              <w:spacing w:after="0" w:line="240" w:lineRule="auto"/>
              <w:jc w:val="both"/>
              <w:rPr>
                <w:b/>
                <w:vanish/>
              </w:rPr>
            </w:pPr>
          </w:p>
        </w:tc>
        <w:tc>
          <w:tcPr>
            <w:tcW w:w="1368" w:type="dxa"/>
          </w:tcPr>
          <w:p w14:paraId="7895BD64" w14:textId="77777777" w:rsidR="00D0416C" w:rsidRDefault="00D0416C" w:rsidP="00CB2046">
            <w:pPr>
              <w:keepNext/>
              <w:widowControl w:val="0"/>
              <w:spacing w:after="0" w:line="240" w:lineRule="auto"/>
              <w:jc w:val="both"/>
              <w:rPr>
                <w:b/>
                <w:vanish/>
              </w:rPr>
            </w:pPr>
          </w:p>
        </w:tc>
      </w:tr>
      <w:tr w:rsidR="00D0416C" w14:paraId="32932B18" w14:textId="77777777">
        <w:trPr>
          <w:cantSplit/>
        </w:trPr>
        <w:tc>
          <w:tcPr>
            <w:tcW w:w="1368" w:type="dxa"/>
          </w:tcPr>
          <w:p w14:paraId="58584987" w14:textId="77777777" w:rsidR="00D0416C" w:rsidRDefault="002B09DF" w:rsidP="00CB2046">
            <w:pPr>
              <w:keepNext/>
              <w:widowControl w:val="0"/>
              <w:spacing w:after="0" w:line="240" w:lineRule="auto"/>
              <w:jc w:val="both"/>
            </w:pPr>
            <w:r>
              <w:t>Number</w:t>
            </w:r>
          </w:p>
        </w:tc>
        <w:tc>
          <w:tcPr>
            <w:tcW w:w="1368" w:type="dxa"/>
          </w:tcPr>
          <w:p w14:paraId="4E09B6E1" w14:textId="77777777" w:rsidR="00D0416C" w:rsidRDefault="00D0416C" w:rsidP="00CB2046">
            <w:pPr>
              <w:keepNext/>
              <w:widowControl w:val="0"/>
              <w:spacing w:after="0" w:line="240" w:lineRule="auto"/>
              <w:jc w:val="both"/>
            </w:pPr>
          </w:p>
        </w:tc>
        <w:tc>
          <w:tcPr>
            <w:tcW w:w="1368" w:type="dxa"/>
          </w:tcPr>
          <w:p w14:paraId="65B9B2B9" w14:textId="77777777" w:rsidR="00D0416C" w:rsidRDefault="00D0416C" w:rsidP="00CB2046">
            <w:pPr>
              <w:keepNext/>
              <w:widowControl w:val="0"/>
              <w:spacing w:after="0" w:line="240" w:lineRule="auto"/>
              <w:jc w:val="both"/>
            </w:pPr>
          </w:p>
        </w:tc>
        <w:tc>
          <w:tcPr>
            <w:tcW w:w="1368" w:type="dxa"/>
          </w:tcPr>
          <w:p w14:paraId="200A4D02" w14:textId="77777777" w:rsidR="00D0416C" w:rsidRDefault="00D0416C" w:rsidP="00CB2046">
            <w:pPr>
              <w:keepNext/>
              <w:widowControl w:val="0"/>
              <w:spacing w:after="0" w:line="240" w:lineRule="auto"/>
              <w:jc w:val="both"/>
            </w:pPr>
          </w:p>
        </w:tc>
        <w:tc>
          <w:tcPr>
            <w:tcW w:w="1368" w:type="dxa"/>
          </w:tcPr>
          <w:p w14:paraId="46390B7C" w14:textId="77777777" w:rsidR="00D0416C" w:rsidRDefault="00D0416C" w:rsidP="00CB2046">
            <w:pPr>
              <w:keepNext/>
              <w:widowControl w:val="0"/>
              <w:spacing w:after="0" w:line="240" w:lineRule="auto"/>
              <w:jc w:val="both"/>
            </w:pPr>
          </w:p>
        </w:tc>
        <w:tc>
          <w:tcPr>
            <w:tcW w:w="1368" w:type="dxa"/>
          </w:tcPr>
          <w:p w14:paraId="157A7203" w14:textId="77777777" w:rsidR="00D0416C" w:rsidRDefault="00D0416C" w:rsidP="00CB2046">
            <w:pPr>
              <w:keepNext/>
              <w:widowControl w:val="0"/>
              <w:spacing w:after="0" w:line="240" w:lineRule="auto"/>
              <w:jc w:val="both"/>
            </w:pPr>
          </w:p>
        </w:tc>
        <w:tc>
          <w:tcPr>
            <w:tcW w:w="1368" w:type="dxa"/>
          </w:tcPr>
          <w:p w14:paraId="15748807" w14:textId="77777777" w:rsidR="00D0416C" w:rsidRDefault="00D0416C" w:rsidP="00CB2046">
            <w:pPr>
              <w:keepNext/>
              <w:widowControl w:val="0"/>
              <w:spacing w:after="0" w:line="240" w:lineRule="auto"/>
              <w:jc w:val="both"/>
            </w:pPr>
          </w:p>
        </w:tc>
      </w:tr>
      <w:tr w:rsidR="00D0416C" w14:paraId="51F8F547" w14:textId="77777777">
        <w:trPr>
          <w:cantSplit/>
        </w:trPr>
        <w:tc>
          <w:tcPr>
            <w:tcW w:w="1368" w:type="dxa"/>
          </w:tcPr>
          <w:p w14:paraId="52E8F42F" w14:textId="77777777" w:rsidR="00D0416C" w:rsidRDefault="002B09DF" w:rsidP="00CB2046">
            <w:pPr>
              <w:keepNext/>
              <w:widowControl w:val="0"/>
              <w:spacing w:after="0" w:line="240" w:lineRule="auto"/>
              <w:jc w:val="both"/>
            </w:pPr>
            <w:r>
              <w:t>Dollar Amount</w:t>
            </w:r>
          </w:p>
        </w:tc>
        <w:tc>
          <w:tcPr>
            <w:tcW w:w="1368" w:type="dxa"/>
          </w:tcPr>
          <w:p w14:paraId="4DEC9F51" w14:textId="77777777" w:rsidR="00D0416C" w:rsidRDefault="00D0416C" w:rsidP="00CB2046">
            <w:pPr>
              <w:keepNext/>
              <w:widowControl w:val="0"/>
              <w:spacing w:after="0" w:line="240" w:lineRule="auto"/>
              <w:jc w:val="both"/>
            </w:pPr>
          </w:p>
        </w:tc>
        <w:tc>
          <w:tcPr>
            <w:tcW w:w="1368" w:type="dxa"/>
          </w:tcPr>
          <w:p w14:paraId="09A8C404" w14:textId="77777777" w:rsidR="00D0416C" w:rsidRDefault="00D0416C" w:rsidP="00CB2046">
            <w:pPr>
              <w:keepNext/>
              <w:widowControl w:val="0"/>
              <w:spacing w:after="0" w:line="240" w:lineRule="auto"/>
              <w:jc w:val="both"/>
            </w:pPr>
          </w:p>
        </w:tc>
        <w:tc>
          <w:tcPr>
            <w:tcW w:w="1368" w:type="dxa"/>
          </w:tcPr>
          <w:p w14:paraId="2A747BE9" w14:textId="77777777" w:rsidR="00D0416C" w:rsidRDefault="00D0416C" w:rsidP="00CB2046">
            <w:pPr>
              <w:keepNext/>
              <w:widowControl w:val="0"/>
              <w:spacing w:after="0" w:line="240" w:lineRule="auto"/>
              <w:jc w:val="both"/>
            </w:pPr>
          </w:p>
        </w:tc>
        <w:tc>
          <w:tcPr>
            <w:tcW w:w="1368" w:type="dxa"/>
          </w:tcPr>
          <w:p w14:paraId="51C264CC" w14:textId="77777777" w:rsidR="00D0416C" w:rsidRDefault="00D0416C" w:rsidP="00CB2046">
            <w:pPr>
              <w:keepNext/>
              <w:widowControl w:val="0"/>
              <w:spacing w:after="0" w:line="240" w:lineRule="auto"/>
              <w:jc w:val="both"/>
            </w:pPr>
          </w:p>
        </w:tc>
        <w:tc>
          <w:tcPr>
            <w:tcW w:w="1368" w:type="dxa"/>
          </w:tcPr>
          <w:p w14:paraId="29A1C711" w14:textId="77777777" w:rsidR="00D0416C" w:rsidRDefault="00D0416C" w:rsidP="00CB2046">
            <w:pPr>
              <w:keepNext/>
              <w:widowControl w:val="0"/>
              <w:spacing w:after="0" w:line="240" w:lineRule="auto"/>
              <w:jc w:val="both"/>
            </w:pPr>
          </w:p>
        </w:tc>
        <w:tc>
          <w:tcPr>
            <w:tcW w:w="1368" w:type="dxa"/>
          </w:tcPr>
          <w:p w14:paraId="3E5EB2AA" w14:textId="77777777" w:rsidR="00D0416C" w:rsidRDefault="00D0416C" w:rsidP="00CB2046">
            <w:pPr>
              <w:keepNext/>
              <w:widowControl w:val="0"/>
              <w:spacing w:after="0" w:line="240" w:lineRule="auto"/>
              <w:jc w:val="both"/>
            </w:pPr>
          </w:p>
        </w:tc>
      </w:tr>
    </w:tbl>
    <w:p w14:paraId="56E6969C" w14:textId="77777777" w:rsidR="00D0416C" w:rsidRDefault="00D0416C" w:rsidP="00CB2046">
      <w:pPr>
        <w:widowControl w:val="0"/>
        <w:spacing w:after="0" w:line="240" w:lineRule="auto"/>
        <w:jc w:val="both"/>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7"/>
        <w:gridCol w:w="1337"/>
        <w:gridCol w:w="1337"/>
        <w:gridCol w:w="1337"/>
      </w:tblGrid>
      <w:tr w:rsidR="00D0416C" w14:paraId="49ADCB0B" w14:textId="77777777">
        <w:trPr>
          <w:cantSplit/>
        </w:trPr>
        <w:tc>
          <w:tcPr>
            <w:tcW w:w="1394" w:type="dxa"/>
          </w:tcPr>
          <w:p w14:paraId="672CB523" w14:textId="77777777" w:rsidR="00D0416C" w:rsidRDefault="00D0416C" w:rsidP="00CB2046">
            <w:pPr>
              <w:keepNext/>
              <w:widowControl w:val="0"/>
              <w:spacing w:after="0" w:line="240" w:lineRule="auto"/>
              <w:jc w:val="both"/>
              <w:rPr>
                <w:b/>
              </w:rPr>
            </w:pPr>
          </w:p>
        </w:tc>
        <w:tc>
          <w:tcPr>
            <w:tcW w:w="1393" w:type="dxa"/>
          </w:tcPr>
          <w:p w14:paraId="392DF115" w14:textId="77777777" w:rsidR="00D0416C" w:rsidRDefault="002B09DF" w:rsidP="00CB2046">
            <w:pPr>
              <w:keepNext/>
              <w:widowControl w:val="0"/>
              <w:spacing w:after="0" w:line="240" w:lineRule="auto"/>
              <w:jc w:val="both"/>
              <w:rPr>
                <w:b/>
              </w:rPr>
            </w:pPr>
            <w:r>
              <w:rPr>
                <w:b/>
              </w:rPr>
              <w:t>Total</w:t>
            </w:r>
          </w:p>
        </w:tc>
        <w:tc>
          <w:tcPr>
            <w:tcW w:w="1393" w:type="dxa"/>
          </w:tcPr>
          <w:p w14:paraId="328685A7" w14:textId="77777777" w:rsidR="00D0416C" w:rsidRDefault="002B09DF" w:rsidP="00CB2046">
            <w:pPr>
              <w:keepNext/>
              <w:widowControl w:val="0"/>
              <w:spacing w:after="0" w:line="240" w:lineRule="auto"/>
              <w:jc w:val="both"/>
              <w:rPr>
                <w:b/>
                <w:szCs w:val="24"/>
              </w:rPr>
            </w:pPr>
            <w:r>
              <w:rPr>
                <w:b/>
              </w:rPr>
              <w:t>Women Business Enterprises</w:t>
            </w:r>
          </w:p>
        </w:tc>
        <w:tc>
          <w:tcPr>
            <w:tcW w:w="1393" w:type="dxa"/>
          </w:tcPr>
          <w:p w14:paraId="6DC21508" w14:textId="77777777" w:rsidR="00D0416C" w:rsidRDefault="002B09DF" w:rsidP="00CB2046">
            <w:pPr>
              <w:keepNext/>
              <w:widowControl w:val="0"/>
              <w:spacing w:after="0" w:line="240" w:lineRule="auto"/>
              <w:jc w:val="both"/>
              <w:rPr>
                <w:b/>
                <w:szCs w:val="24"/>
              </w:rPr>
            </w:pPr>
            <w:r>
              <w:rPr>
                <w:b/>
              </w:rPr>
              <w:t>Male</w:t>
            </w:r>
          </w:p>
        </w:tc>
      </w:tr>
    </w:tbl>
    <w:p w14:paraId="2B5337A5" w14:textId="77777777" w:rsidR="00D0416C" w:rsidRDefault="00D0416C" w:rsidP="00CB2046">
      <w:pPr>
        <w:keepNext/>
        <w:widowControl w:val="0"/>
        <w:spacing w:after="0" w:line="240" w:lineRule="auto"/>
        <w:jc w:val="both"/>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D0416C" w14:paraId="04D72B66" w14:textId="77777777">
        <w:trPr>
          <w:cantSplit/>
        </w:trPr>
        <w:tc>
          <w:tcPr>
            <w:tcW w:w="5485" w:type="dxa"/>
            <w:gridSpan w:val="4"/>
          </w:tcPr>
          <w:p w14:paraId="328A75D5" w14:textId="77777777" w:rsidR="00D0416C" w:rsidRDefault="002B09DF" w:rsidP="00CB2046">
            <w:pPr>
              <w:keepNext/>
              <w:widowControl w:val="0"/>
              <w:spacing w:after="0" w:line="240" w:lineRule="auto"/>
              <w:jc w:val="both"/>
              <w:rPr>
                <w:b/>
              </w:rPr>
            </w:pPr>
            <w:r>
              <w:rPr>
                <w:b/>
              </w:rPr>
              <w:t>Contracts</w:t>
            </w:r>
          </w:p>
        </w:tc>
      </w:tr>
      <w:tr w:rsidR="00D0416C" w14:paraId="23478659" w14:textId="77777777">
        <w:trPr>
          <w:cantSplit/>
          <w:hidden/>
        </w:trPr>
        <w:tc>
          <w:tcPr>
            <w:tcW w:w="1393" w:type="dxa"/>
          </w:tcPr>
          <w:p w14:paraId="4DA89250" w14:textId="77777777" w:rsidR="00D0416C" w:rsidRDefault="00D0416C" w:rsidP="00CB2046">
            <w:pPr>
              <w:keepNext/>
              <w:widowControl w:val="0"/>
              <w:spacing w:after="0" w:line="240" w:lineRule="auto"/>
              <w:jc w:val="both"/>
              <w:rPr>
                <w:b/>
                <w:vanish/>
              </w:rPr>
            </w:pPr>
          </w:p>
        </w:tc>
        <w:tc>
          <w:tcPr>
            <w:tcW w:w="1364" w:type="dxa"/>
          </w:tcPr>
          <w:p w14:paraId="5701F1FC" w14:textId="77777777" w:rsidR="00D0416C" w:rsidRDefault="00D0416C" w:rsidP="00CB2046">
            <w:pPr>
              <w:keepNext/>
              <w:widowControl w:val="0"/>
              <w:spacing w:after="0" w:line="240" w:lineRule="auto"/>
              <w:jc w:val="both"/>
              <w:rPr>
                <w:b/>
                <w:vanish/>
              </w:rPr>
            </w:pPr>
          </w:p>
        </w:tc>
        <w:tc>
          <w:tcPr>
            <w:tcW w:w="1364" w:type="dxa"/>
          </w:tcPr>
          <w:p w14:paraId="00AD321C" w14:textId="77777777" w:rsidR="00D0416C" w:rsidRDefault="00D0416C" w:rsidP="00CB2046">
            <w:pPr>
              <w:keepNext/>
              <w:widowControl w:val="0"/>
              <w:spacing w:after="0" w:line="240" w:lineRule="auto"/>
              <w:jc w:val="both"/>
              <w:rPr>
                <w:b/>
                <w:vanish/>
              </w:rPr>
            </w:pPr>
          </w:p>
        </w:tc>
        <w:tc>
          <w:tcPr>
            <w:tcW w:w="1364" w:type="dxa"/>
          </w:tcPr>
          <w:p w14:paraId="0F67FC52" w14:textId="77777777" w:rsidR="00D0416C" w:rsidRDefault="00D0416C" w:rsidP="00CB2046">
            <w:pPr>
              <w:keepNext/>
              <w:widowControl w:val="0"/>
              <w:spacing w:after="0" w:line="240" w:lineRule="auto"/>
              <w:jc w:val="both"/>
              <w:rPr>
                <w:b/>
                <w:vanish/>
              </w:rPr>
            </w:pPr>
          </w:p>
        </w:tc>
      </w:tr>
      <w:tr w:rsidR="00D0416C" w14:paraId="117A5AB0" w14:textId="77777777">
        <w:trPr>
          <w:cantSplit/>
        </w:trPr>
        <w:tc>
          <w:tcPr>
            <w:tcW w:w="1393" w:type="dxa"/>
          </w:tcPr>
          <w:p w14:paraId="09F9B7EC" w14:textId="77777777" w:rsidR="00D0416C" w:rsidRDefault="002B09DF" w:rsidP="00CB2046">
            <w:pPr>
              <w:keepNext/>
              <w:widowControl w:val="0"/>
              <w:spacing w:after="0" w:line="240" w:lineRule="auto"/>
              <w:jc w:val="both"/>
              <w:rPr>
                <w:b/>
              </w:rPr>
            </w:pPr>
            <w:r>
              <w:t>Number</w:t>
            </w:r>
          </w:p>
        </w:tc>
        <w:tc>
          <w:tcPr>
            <w:tcW w:w="1364" w:type="dxa"/>
          </w:tcPr>
          <w:p w14:paraId="4C11A1AD" w14:textId="77777777" w:rsidR="00D0416C" w:rsidRDefault="00D0416C" w:rsidP="00CB2046">
            <w:pPr>
              <w:keepNext/>
              <w:widowControl w:val="0"/>
              <w:spacing w:after="0" w:line="240" w:lineRule="auto"/>
              <w:jc w:val="both"/>
              <w:rPr>
                <w:b/>
              </w:rPr>
            </w:pPr>
          </w:p>
        </w:tc>
        <w:tc>
          <w:tcPr>
            <w:tcW w:w="1364" w:type="dxa"/>
          </w:tcPr>
          <w:p w14:paraId="5B74503C" w14:textId="77777777" w:rsidR="00D0416C" w:rsidRDefault="00D0416C" w:rsidP="00CB2046">
            <w:pPr>
              <w:keepNext/>
              <w:widowControl w:val="0"/>
              <w:spacing w:after="0" w:line="240" w:lineRule="auto"/>
              <w:jc w:val="both"/>
              <w:rPr>
                <w:b/>
              </w:rPr>
            </w:pPr>
          </w:p>
        </w:tc>
        <w:tc>
          <w:tcPr>
            <w:tcW w:w="1364" w:type="dxa"/>
          </w:tcPr>
          <w:p w14:paraId="183702FD" w14:textId="77777777" w:rsidR="00D0416C" w:rsidRDefault="00D0416C" w:rsidP="00CB2046">
            <w:pPr>
              <w:keepNext/>
              <w:widowControl w:val="0"/>
              <w:spacing w:after="0" w:line="240" w:lineRule="auto"/>
              <w:jc w:val="both"/>
              <w:rPr>
                <w:b/>
              </w:rPr>
            </w:pPr>
          </w:p>
        </w:tc>
      </w:tr>
      <w:tr w:rsidR="00D0416C" w14:paraId="5DA90F9D" w14:textId="77777777">
        <w:trPr>
          <w:cantSplit/>
        </w:trPr>
        <w:tc>
          <w:tcPr>
            <w:tcW w:w="1393" w:type="dxa"/>
          </w:tcPr>
          <w:p w14:paraId="1DF5BCF3" w14:textId="77777777" w:rsidR="00D0416C" w:rsidRDefault="002B09DF" w:rsidP="00CB2046">
            <w:pPr>
              <w:keepNext/>
              <w:widowControl w:val="0"/>
              <w:spacing w:after="0" w:line="240" w:lineRule="auto"/>
              <w:jc w:val="both"/>
            </w:pPr>
            <w:r>
              <w:t>Dollar Amount</w:t>
            </w:r>
          </w:p>
        </w:tc>
        <w:tc>
          <w:tcPr>
            <w:tcW w:w="1364" w:type="dxa"/>
          </w:tcPr>
          <w:p w14:paraId="775E73CA" w14:textId="77777777" w:rsidR="00D0416C" w:rsidRDefault="00D0416C" w:rsidP="00CB2046">
            <w:pPr>
              <w:keepNext/>
              <w:widowControl w:val="0"/>
              <w:spacing w:after="0" w:line="240" w:lineRule="auto"/>
              <w:jc w:val="both"/>
              <w:rPr>
                <w:b/>
              </w:rPr>
            </w:pPr>
          </w:p>
        </w:tc>
        <w:tc>
          <w:tcPr>
            <w:tcW w:w="1364" w:type="dxa"/>
          </w:tcPr>
          <w:p w14:paraId="7D8D1174" w14:textId="77777777" w:rsidR="00D0416C" w:rsidRDefault="00D0416C" w:rsidP="00CB2046">
            <w:pPr>
              <w:keepNext/>
              <w:widowControl w:val="0"/>
              <w:spacing w:after="0" w:line="240" w:lineRule="auto"/>
              <w:jc w:val="both"/>
              <w:rPr>
                <w:b/>
              </w:rPr>
            </w:pPr>
          </w:p>
        </w:tc>
        <w:tc>
          <w:tcPr>
            <w:tcW w:w="1364" w:type="dxa"/>
          </w:tcPr>
          <w:p w14:paraId="27E37FC2" w14:textId="77777777" w:rsidR="00D0416C" w:rsidRDefault="00D0416C" w:rsidP="00CB2046">
            <w:pPr>
              <w:keepNext/>
              <w:widowControl w:val="0"/>
              <w:spacing w:after="0" w:line="240" w:lineRule="auto"/>
              <w:jc w:val="both"/>
              <w:rPr>
                <w:b/>
              </w:rPr>
            </w:pPr>
          </w:p>
        </w:tc>
      </w:tr>
    </w:tbl>
    <w:p w14:paraId="39C8E795" w14:textId="77777777" w:rsidR="00D0416C" w:rsidRDefault="00D0416C" w:rsidP="00CB2046">
      <w:pPr>
        <w:widowControl w:val="0"/>
        <w:spacing w:after="0" w:line="240" w:lineRule="auto"/>
        <w:jc w:val="both"/>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D0416C" w14:paraId="376610FE" w14:textId="77777777">
        <w:trPr>
          <w:cantSplit/>
        </w:trPr>
        <w:tc>
          <w:tcPr>
            <w:tcW w:w="5485" w:type="dxa"/>
            <w:gridSpan w:val="4"/>
          </w:tcPr>
          <w:p w14:paraId="6B690808" w14:textId="77777777" w:rsidR="00D0416C" w:rsidRDefault="002B09DF" w:rsidP="00CB2046">
            <w:pPr>
              <w:keepNext/>
              <w:widowControl w:val="0"/>
              <w:spacing w:after="0" w:line="240" w:lineRule="auto"/>
              <w:jc w:val="both"/>
              <w:rPr>
                <w:b/>
              </w:rPr>
            </w:pPr>
            <w:r>
              <w:rPr>
                <w:b/>
              </w:rPr>
              <w:t>Sub-Contracts</w:t>
            </w:r>
          </w:p>
        </w:tc>
      </w:tr>
      <w:tr w:rsidR="00D0416C" w14:paraId="7DE6558E" w14:textId="77777777">
        <w:trPr>
          <w:cantSplit/>
          <w:hidden/>
        </w:trPr>
        <w:tc>
          <w:tcPr>
            <w:tcW w:w="1393" w:type="dxa"/>
          </w:tcPr>
          <w:p w14:paraId="61A6C44D" w14:textId="77777777" w:rsidR="00D0416C" w:rsidRDefault="00D0416C" w:rsidP="00CB2046">
            <w:pPr>
              <w:keepNext/>
              <w:widowControl w:val="0"/>
              <w:spacing w:after="0" w:line="240" w:lineRule="auto"/>
              <w:jc w:val="both"/>
              <w:rPr>
                <w:b/>
                <w:vanish/>
              </w:rPr>
            </w:pPr>
          </w:p>
        </w:tc>
        <w:tc>
          <w:tcPr>
            <w:tcW w:w="1364" w:type="dxa"/>
          </w:tcPr>
          <w:p w14:paraId="55C5AA9E" w14:textId="77777777" w:rsidR="00D0416C" w:rsidRDefault="00D0416C" w:rsidP="00CB2046">
            <w:pPr>
              <w:keepNext/>
              <w:widowControl w:val="0"/>
              <w:spacing w:after="0" w:line="240" w:lineRule="auto"/>
              <w:jc w:val="both"/>
              <w:rPr>
                <w:b/>
                <w:vanish/>
              </w:rPr>
            </w:pPr>
          </w:p>
        </w:tc>
        <w:tc>
          <w:tcPr>
            <w:tcW w:w="1364" w:type="dxa"/>
          </w:tcPr>
          <w:p w14:paraId="1B2F57C7" w14:textId="77777777" w:rsidR="00D0416C" w:rsidRDefault="00D0416C" w:rsidP="00CB2046">
            <w:pPr>
              <w:keepNext/>
              <w:widowControl w:val="0"/>
              <w:spacing w:after="0" w:line="240" w:lineRule="auto"/>
              <w:jc w:val="both"/>
              <w:rPr>
                <w:b/>
                <w:vanish/>
              </w:rPr>
            </w:pPr>
          </w:p>
        </w:tc>
        <w:tc>
          <w:tcPr>
            <w:tcW w:w="1364" w:type="dxa"/>
          </w:tcPr>
          <w:p w14:paraId="024721BF" w14:textId="77777777" w:rsidR="00D0416C" w:rsidRDefault="00D0416C" w:rsidP="00CB2046">
            <w:pPr>
              <w:keepNext/>
              <w:widowControl w:val="0"/>
              <w:spacing w:after="0" w:line="240" w:lineRule="auto"/>
              <w:jc w:val="both"/>
              <w:rPr>
                <w:b/>
                <w:vanish/>
              </w:rPr>
            </w:pPr>
          </w:p>
        </w:tc>
      </w:tr>
      <w:tr w:rsidR="00D0416C" w14:paraId="699C8BF1" w14:textId="77777777">
        <w:trPr>
          <w:cantSplit/>
        </w:trPr>
        <w:tc>
          <w:tcPr>
            <w:tcW w:w="1393" w:type="dxa"/>
          </w:tcPr>
          <w:p w14:paraId="086D1922" w14:textId="77777777" w:rsidR="00D0416C" w:rsidRDefault="002B09DF" w:rsidP="00CB2046">
            <w:pPr>
              <w:keepNext/>
              <w:widowControl w:val="0"/>
              <w:spacing w:after="0" w:line="240" w:lineRule="auto"/>
              <w:jc w:val="both"/>
              <w:rPr>
                <w:b/>
              </w:rPr>
            </w:pPr>
            <w:r>
              <w:t>Number</w:t>
            </w:r>
          </w:p>
        </w:tc>
        <w:tc>
          <w:tcPr>
            <w:tcW w:w="1364" w:type="dxa"/>
          </w:tcPr>
          <w:p w14:paraId="5C69F129" w14:textId="77777777" w:rsidR="00D0416C" w:rsidRDefault="00D0416C" w:rsidP="00CB2046">
            <w:pPr>
              <w:keepNext/>
              <w:widowControl w:val="0"/>
              <w:spacing w:after="0" w:line="240" w:lineRule="auto"/>
              <w:jc w:val="both"/>
              <w:rPr>
                <w:b/>
              </w:rPr>
            </w:pPr>
          </w:p>
        </w:tc>
        <w:tc>
          <w:tcPr>
            <w:tcW w:w="1364" w:type="dxa"/>
          </w:tcPr>
          <w:p w14:paraId="67559A7E" w14:textId="77777777" w:rsidR="00D0416C" w:rsidRDefault="00D0416C" w:rsidP="00CB2046">
            <w:pPr>
              <w:keepNext/>
              <w:widowControl w:val="0"/>
              <w:spacing w:after="0" w:line="240" w:lineRule="auto"/>
              <w:jc w:val="both"/>
              <w:rPr>
                <w:b/>
              </w:rPr>
            </w:pPr>
          </w:p>
        </w:tc>
        <w:tc>
          <w:tcPr>
            <w:tcW w:w="1364" w:type="dxa"/>
          </w:tcPr>
          <w:p w14:paraId="5A14C37E" w14:textId="77777777" w:rsidR="00D0416C" w:rsidRDefault="00D0416C" w:rsidP="00CB2046">
            <w:pPr>
              <w:keepNext/>
              <w:widowControl w:val="0"/>
              <w:spacing w:after="0" w:line="240" w:lineRule="auto"/>
              <w:jc w:val="both"/>
              <w:rPr>
                <w:b/>
              </w:rPr>
            </w:pPr>
          </w:p>
        </w:tc>
      </w:tr>
      <w:tr w:rsidR="00D0416C" w14:paraId="7726998C" w14:textId="77777777">
        <w:trPr>
          <w:cantSplit/>
        </w:trPr>
        <w:tc>
          <w:tcPr>
            <w:tcW w:w="1393" w:type="dxa"/>
          </w:tcPr>
          <w:p w14:paraId="35B18E38" w14:textId="77777777" w:rsidR="00D0416C" w:rsidRDefault="002B09DF" w:rsidP="00CB2046">
            <w:pPr>
              <w:keepNext/>
              <w:widowControl w:val="0"/>
              <w:spacing w:after="0" w:line="240" w:lineRule="auto"/>
              <w:jc w:val="both"/>
            </w:pPr>
            <w:r>
              <w:t>Dollar Amount</w:t>
            </w:r>
          </w:p>
        </w:tc>
        <w:tc>
          <w:tcPr>
            <w:tcW w:w="1364" w:type="dxa"/>
          </w:tcPr>
          <w:p w14:paraId="77A9C2DF" w14:textId="77777777" w:rsidR="00D0416C" w:rsidRDefault="00D0416C" w:rsidP="00CB2046">
            <w:pPr>
              <w:keepNext/>
              <w:widowControl w:val="0"/>
              <w:spacing w:after="0" w:line="240" w:lineRule="auto"/>
              <w:jc w:val="both"/>
              <w:rPr>
                <w:b/>
              </w:rPr>
            </w:pPr>
          </w:p>
        </w:tc>
        <w:tc>
          <w:tcPr>
            <w:tcW w:w="1364" w:type="dxa"/>
          </w:tcPr>
          <w:p w14:paraId="46A5DE9F" w14:textId="77777777" w:rsidR="00D0416C" w:rsidRDefault="00D0416C" w:rsidP="00CB2046">
            <w:pPr>
              <w:keepNext/>
              <w:widowControl w:val="0"/>
              <w:spacing w:after="0" w:line="240" w:lineRule="auto"/>
              <w:jc w:val="both"/>
              <w:rPr>
                <w:b/>
              </w:rPr>
            </w:pPr>
          </w:p>
        </w:tc>
        <w:tc>
          <w:tcPr>
            <w:tcW w:w="1364" w:type="dxa"/>
          </w:tcPr>
          <w:p w14:paraId="645A4C1B" w14:textId="77777777" w:rsidR="00D0416C" w:rsidRDefault="00D0416C" w:rsidP="00CB2046">
            <w:pPr>
              <w:keepNext/>
              <w:widowControl w:val="0"/>
              <w:spacing w:after="0" w:line="240" w:lineRule="auto"/>
              <w:jc w:val="both"/>
              <w:rPr>
                <w:b/>
              </w:rPr>
            </w:pPr>
          </w:p>
        </w:tc>
      </w:tr>
    </w:tbl>
    <w:p w14:paraId="1EDD85B9" w14:textId="77777777" w:rsidR="00D0416C" w:rsidRDefault="002B09DF" w:rsidP="00CB2046">
      <w:pPr>
        <w:pStyle w:val="Caption"/>
        <w:jc w:val="both"/>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65EF1">
        <w:rPr>
          <w:rFonts w:asciiTheme="minorHAnsi" w:hAnsiTheme="minorHAnsi"/>
          <w:noProof/>
        </w:rPr>
        <w:t>8</w:t>
      </w:r>
      <w:r>
        <w:rPr>
          <w:rFonts w:asciiTheme="minorHAnsi" w:hAnsiTheme="minorHAnsi"/>
        </w:rPr>
        <w:fldChar w:fldCharType="end"/>
      </w:r>
      <w:r>
        <w:rPr>
          <w:rFonts w:asciiTheme="minorHAnsi" w:hAnsiTheme="minorHAnsi"/>
        </w:rPr>
        <w:t xml:space="preserve"> - Minority Business and Women Business Enterprises</w:t>
      </w:r>
    </w:p>
    <w:p w14:paraId="335FD968" w14:textId="77777777" w:rsidR="00D0416C" w:rsidRDefault="00D0416C" w:rsidP="00CB2046">
      <w:pPr>
        <w:widowControl w:val="0"/>
        <w:spacing w:after="0" w:line="240" w:lineRule="auto"/>
        <w:jc w:val="both"/>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416C" w14:paraId="2D60B9D3" w14:textId="77777777" w:rsidTr="00D07211">
        <w:tc>
          <w:tcPr>
            <w:tcW w:w="9576" w:type="dxa"/>
            <w:shd w:val="clear" w:color="auto" w:fill="BFBFBF" w:themeFill="background1" w:themeFillShade="BF"/>
          </w:tcPr>
          <w:p w14:paraId="7F244464" w14:textId="77777777" w:rsidR="00D0416C" w:rsidRDefault="002B09DF" w:rsidP="00CB2046">
            <w:pPr>
              <w:keepNext/>
              <w:widowControl w:val="0"/>
              <w:spacing w:after="0" w:line="240" w:lineRule="auto"/>
              <w:jc w:val="both"/>
              <w:rPr>
                <w:b/>
                <w:szCs w:val="24"/>
              </w:rPr>
            </w:pPr>
            <w:r>
              <w:rPr>
                <w:b/>
              </w:rPr>
              <w:lastRenderedPageBreak/>
              <w:t xml:space="preserve">Minority Owners of Rental Property </w:t>
            </w:r>
            <w:r>
              <w:t>– Indicate the number of HOME assisted rental property owners and the total amount of HOME funds in these rental properties assisted</w:t>
            </w:r>
          </w:p>
        </w:tc>
      </w:tr>
    </w:tbl>
    <w:p w14:paraId="72C5931D" w14:textId="77777777" w:rsidR="00D0416C" w:rsidRDefault="00D0416C" w:rsidP="00CB2046">
      <w:pPr>
        <w:keepNext/>
        <w:widowControl w:val="0"/>
        <w:spacing w:after="0" w:line="240" w:lineRule="auto"/>
        <w:jc w:val="both"/>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4"/>
        <w:gridCol w:w="793"/>
        <w:gridCol w:w="1486"/>
        <w:gridCol w:w="1398"/>
        <w:gridCol w:w="1433"/>
        <w:gridCol w:w="1433"/>
        <w:gridCol w:w="1433"/>
      </w:tblGrid>
      <w:tr w:rsidR="00D0416C" w14:paraId="2D66BBFE" w14:textId="77777777">
        <w:tc>
          <w:tcPr>
            <w:tcW w:w="1408" w:type="dxa"/>
            <w:vMerge w:val="restart"/>
          </w:tcPr>
          <w:p w14:paraId="20A9B9F8" w14:textId="77777777" w:rsidR="00D0416C" w:rsidRDefault="00D0416C" w:rsidP="00CB2046">
            <w:pPr>
              <w:keepNext/>
              <w:widowControl w:val="0"/>
              <w:spacing w:after="0" w:line="240" w:lineRule="auto"/>
              <w:jc w:val="both"/>
              <w:rPr>
                <w:b/>
              </w:rPr>
            </w:pPr>
          </w:p>
        </w:tc>
        <w:tc>
          <w:tcPr>
            <w:tcW w:w="809" w:type="dxa"/>
            <w:vMerge w:val="restart"/>
          </w:tcPr>
          <w:p w14:paraId="2A503171" w14:textId="77777777" w:rsidR="00D0416C" w:rsidRDefault="002B09DF" w:rsidP="00CB2046">
            <w:pPr>
              <w:keepNext/>
              <w:widowControl w:val="0"/>
              <w:spacing w:after="0" w:line="240" w:lineRule="auto"/>
              <w:jc w:val="both"/>
              <w:rPr>
                <w:b/>
              </w:rPr>
            </w:pPr>
            <w:r>
              <w:rPr>
                <w:b/>
              </w:rPr>
              <w:t>Total</w:t>
            </w:r>
          </w:p>
        </w:tc>
        <w:tc>
          <w:tcPr>
            <w:tcW w:w="5891" w:type="dxa"/>
            <w:gridSpan w:val="4"/>
          </w:tcPr>
          <w:p w14:paraId="6185876D" w14:textId="77777777" w:rsidR="00D0416C" w:rsidRDefault="002B09DF" w:rsidP="00CB2046">
            <w:pPr>
              <w:keepNext/>
              <w:widowControl w:val="0"/>
              <w:spacing w:after="0" w:line="240" w:lineRule="auto"/>
              <w:jc w:val="both"/>
              <w:rPr>
                <w:b/>
              </w:rPr>
            </w:pPr>
            <w:r>
              <w:rPr>
                <w:b/>
              </w:rPr>
              <w:t>Minority Property Owners</w:t>
            </w:r>
          </w:p>
        </w:tc>
        <w:tc>
          <w:tcPr>
            <w:tcW w:w="1468" w:type="dxa"/>
            <w:vMerge w:val="restart"/>
          </w:tcPr>
          <w:p w14:paraId="5AA95675" w14:textId="77777777" w:rsidR="00D0416C" w:rsidRDefault="002B09DF" w:rsidP="00CB2046">
            <w:pPr>
              <w:keepNext/>
              <w:widowControl w:val="0"/>
              <w:spacing w:after="0" w:line="240" w:lineRule="auto"/>
              <w:jc w:val="both"/>
              <w:rPr>
                <w:b/>
              </w:rPr>
            </w:pPr>
            <w:r>
              <w:rPr>
                <w:b/>
              </w:rPr>
              <w:t>White Non-Hispanic</w:t>
            </w:r>
          </w:p>
        </w:tc>
      </w:tr>
      <w:tr w:rsidR="00D0416C" w14:paraId="1919C341" w14:textId="77777777">
        <w:tc>
          <w:tcPr>
            <w:tcW w:w="1408" w:type="dxa"/>
            <w:vMerge/>
          </w:tcPr>
          <w:p w14:paraId="5946D1EB" w14:textId="77777777" w:rsidR="00D0416C" w:rsidRDefault="00D0416C" w:rsidP="00CB2046">
            <w:pPr>
              <w:keepNext/>
              <w:widowControl w:val="0"/>
              <w:spacing w:after="0" w:line="240" w:lineRule="auto"/>
              <w:jc w:val="both"/>
              <w:rPr>
                <w:b/>
              </w:rPr>
            </w:pPr>
          </w:p>
        </w:tc>
        <w:tc>
          <w:tcPr>
            <w:tcW w:w="809" w:type="dxa"/>
            <w:vMerge/>
          </w:tcPr>
          <w:p w14:paraId="0CF00BA0" w14:textId="77777777" w:rsidR="00D0416C" w:rsidRDefault="00D0416C" w:rsidP="00CB2046">
            <w:pPr>
              <w:keepNext/>
              <w:widowControl w:val="0"/>
              <w:spacing w:after="0" w:line="240" w:lineRule="auto"/>
              <w:jc w:val="both"/>
              <w:rPr>
                <w:b/>
              </w:rPr>
            </w:pPr>
          </w:p>
        </w:tc>
        <w:tc>
          <w:tcPr>
            <w:tcW w:w="1523" w:type="dxa"/>
          </w:tcPr>
          <w:p w14:paraId="6FFAB823" w14:textId="77777777" w:rsidR="00D0416C" w:rsidRDefault="002B09DF" w:rsidP="00CB2046">
            <w:pPr>
              <w:keepNext/>
              <w:widowControl w:val="0"/>
              <w:jc w:val="both"/>
              <w:rPr>
                <w:b/>
              </w:rPr>
            </w:pPr>
            <w:r>
              <w:rPr>
                <w:b/>
              </w:rPr>
              <w:t>Alaskan Native or American Indian</w:t>
            </w:r>
          </w:p>
        </w:tc>
        <w:tc>
          <w:tcPr>
            <w:tcW w:w="1432" w:type="dxa"/>
          </w:tcPr>
          <w:p w14:paraId="00770DB5" w14:textId="77777777" w:rsidR="00D0416C" w:rsidRDefault="002B09DF" w:rsidP="00CB2046">
            <w:pPr>
              <w:keepNext/>
              <w:widowControl w:val="0"/>
              <w:ind w:right="-28"/>
              <w:jc w:val="both"/>
              <w:rPr>
                <w:b/>
              </w:rPr>
            </w:pPr>
            <w:r>
              <w:rPr>
                <w:b/>
              </w:rPr>
              <w:t>Asian or Pacific Islander</w:t>
            </w:r>
          </w:p>
        </w:tc>
        <w:tc>
          <w:tcPr>
            <w:tcW w:w="1468" w:type="dxa"/>
          </w:tcPr>
          <w:p w14:paraId="725576F3" w14:textId="77777777" w:rsidR="00D0416C" w:rsidRDefault="002B09DF" w:rsidP="00CB2046">
            <w:pPr>
              <w:keepNext/>
              <w:widowControl w:val="0"/>
              <w:jc w:val="both"/>
              <w:rPr>
                <w:b/>
              </w:rPr>
            </w:pPr>
            <w:r>
              <w:rPr>
                <w:b/>
              </w:rPr>
              <w:t>Black Non-Hispanic</w:t>
            </w:r>
          </w:p>
        </w:tc>
        <w:tc>
          <w:tcPr>
            <w:tcW w:w="1468" w:type="dxa"/>
          </w:tcPr>
          <w:p w14:paraId="53C129D6" w14:textId="77777777" w:rsidR="00D0416C" w:rsidRDefault="002B09DF" w:rsidP="00CB2046">
            <w:pPr>
              <w:keepNext/>
              <w:widowControl w:val="0"/>
              <w:jc w:val="both"/>
              <w:rPr>
                <w:b/>
              </w:rPr>
            </w:pPr>
            <w:r>
              <w:rPr>
                <w:b/>
              </w:rPr>
              <w:t>Hispanic</w:t>
            </w:r>
          </w:p>
        </w:tc>
        <w:tc>
          <w:tcPr>
            <w:tcW w:w="1468" w:type="dxa"/>
            <w:vMerge/>
          </w:tcPr>
          <w:p w14:paraId="346EC8CA" w14:textId="77777777" w:rsidR="00D0416C" w:rsidRDefault="00D0416C" w:rsidP="00CB2046">
            <w:pPr>
              <w:keepNext/>
              <w:widowControl w:val="0"/>
              <w:spacing w:after="0" w:line="240" w:lineRule="auto"/>
              <w:jc w:val="both"/>
              <w:rPr>
                <w:b/>
              </w:rPr>
            </w:pPr>
          </w:p>
        </w:tc>
      </w:tr>
      <w:tr w:rsidR="00D0416C" w14:paraId="791F1F14" w14:textId="77777777">
        <w:tc>
          <w:tcPr>
            <w:tcW w:w="1408" w:type="dxa"/>
          </w:tcPr>
          <w:p w14:paraId="0C644E3D" w14:textId="77777777" w:rsidR="00D0416C" w:rsidRDefault="002B09DF" w:rsidP="00CB2046">
            <w:pPr>
              <w:keepNext/>
              <w:widowControl w:val="0"/>
              <w:spacing w:after="0" w:line="240" w:lineRule="auto"/>
              <w:jc w:val="both"/>
              <w:rPr>
                <w:b/>
              </w:rPr>
            </w:pPr>
            <w:r>
              <w:t>Number</w:t>
            </w:r>
          </w:p>
        </w:tc>
        <w:tc>
          <w:tcPr>
            <w:tcW w:w="809" w:type="dxa"/>
          </w:tcPr>
          <w:p w14:paraId="7F1A216B" w14:textId="77777777" w:rsidR="00D0416C" w:rsidRDefault="00D0416C" w:rsidP="00CB2046">
            <w:pPr>
              <w:keepNext/>
              <w:widowControl w:val="0"/>
              <w:spacing w:after="0" w:line="240" w:lineRule="auto"/>
              <w:jc w:val="both"/>
              <w:rPr>
                <w:b/>
              </w:rPr>
            </w:pPr>
          </w:p>
        </w:tc>
        <w:tc>
          <w:tcPr>
            <w:tcW w:w="1523" w:type="dxa"/>
          </w:tcPr>
          <w:p w14:paraId="28810CF8" w14:textId="77777777" w:rsidR="00D0416C" w:rsidRDefault="00D0416C" w:rsidP="00CB2046">
            <w:pPr>
              <w:keepNext/>
              <w:widowControl w:val="0"/>
              <w:spacing w:after="0" w:line="240" w:lineRule="auto"/>
              <w:jc w:val="both"/>
              <w:rPr>
                <w:b/>
              </w:rPr>
            </w:pPr>
          </w:p>
        </w:tc>
        <w:tc>
          <w:tcPr>
            <w:tcW w:w="1432" w:type="dxa"/>
          </w:tcPr>
          <w:p w14:paraId="79DB4CBF" w14:textId="77777777" w:rsidR="00D0416C" w:rsidRDefault="00D0416C" w:rsidP="00CB2046">
            <w:pPr>
              <w:keepNext/>
              <w:widowControl w:val="0"/>
              <w:spacing w:after="0" w:line="240" w:lineRule="auto"/>
              <w:jc w:val="both"/>
              <w:rPr>
                <w:b/>
              </w:rPr>
            </w:pPr>
          </w:p>
        </w:tc>
        <w:tc>
          <w:tcPr>
            <w:tcW w:w="1468" w:type="dxa"/>
          </w:tcPr>
          <w:p w14:paraId="6D1C469A" w14:textId="77777777" w:rsidR="00D0416C" w:rsidRDefault="00D0416C" w:rsidP="00CB2046">
            <w:pPr>
              <w:keepNext/>
              <w:widowControl w:val="0"/>
              <w:spacing w:after="0" w:line="240" w:lineRule="auto"/>
              <w:jc w:val="both"/>
              <w:rPr>
                <w:b/>
              </w:rPr>
            </w:pPr>
          </w:p>
        </w:tc>
        <w:tc>
          <w:tcPr>
            <w:tcW w:w="1468" w:type="dxa"/>
          </w:tcPr>
          <w:p w14:paraId="70CD6EAA" w14:textId="77777777" w:rsidR="00D0416C" w:rsidRDefault="00D0416C" w:rsidP="00CB2046">
            <w:pPr>
              <w:keepNext/>
              <w:widowControl w:val="0"/>
              <w:spacing w:after="0" w:line="240" w:lineRule="auto"/>
              <w:jc w:val="both"/>
              <w:rPr>
                <w:b/>
              </w:rPr>
            </w:pPr>
          </w:p>
        </w:tc>
        <w:tc>
          <w:tcPr>
            <w:tcW w:w="1468" w:type="dxa"/>
          </w:tcPr>
          <w:p w14:paraId="141B5F2E" w14:textId="77777777" w:rsidR="00D0416C" w:rsidRDefault="00D0416C" w:rsidP="00CB2046">
            <w:pPr>
              <w:keepNext/>
              <w:widowControl w:val="0"/>
              <w:spacing w:after="0" w:line="240" w:lineRule="auto"/>
              <w:jc w:val="both"/>
              <w:rPr>
                <w:b/>
              </w:rPr>
            </w:pPr>
          </w:p>
        </w:tc>
      </w:tr>
      <w:tr w:rsidR="00D0416C" w14:paraId="06438B69" w14:textId="77777777">
        <w:tc>
          <w:tcPr>
            <w:tcW w:w="1408" w:type="dxa"/>
          </w:tcPr>
          <w:p w14:paraId="39F84B63" w14:textId="77777777" w:rsidR="00D0416C" w:rsidRDefault="002B09DF" w:rsidP="00CB2046">
            <w:pPr>
              <w:keepNext/>
              <w:widowControl w:val="0"/>
              <w:spacing w:after="0" w:line="240" w:lineRule="auto"/>
              <w:jc w:val="both"/>
            </w:pPr>
            <w:r>
              <w:t>Dollar Amount</w:t>
            </w:r>
          </w:p>
        </w:tc>
        <w:tc>
          <w:tcPr>
            <w:tcW w:w="809" w:type="dxa"/>
          </w:tcPr>
          <w:p w14:paraId="0570D808" w14:textId="77777777" w:rsidR="00D0416C" w:rsidRDefault="00D0416C" w:rsidP="00CB2046">
            <w:pPr>
              <w:keepNext/>
              <w:widowControl w:val="0"/>
              <w:spacing w:after="0" w:line="240" w:lineRule="auto"/>
              <w:jc w:val="both"/>
              <w:rPr>
                <w:b/>
              </w:rPr>
            </w:pPr>
          </w:p>
        </w:tc>
        <w:tc>
          <w:tcPr>
            <w:tcW w:w="1523" w:type="dxa"/>
          </w:tcPr>
          <w:p w14:paraId="551C4DD2" w14:textId="77777777" w:rsidR="00D0416C" w:rsidRDefault="00D0416C" w:rsidP="00CB2046">
            <w:pPr>
              <w:keepNext/>
              <w:widowControl w:val="0"/>
              <w:spacing w:after="0" w:line="240" w:lineRule="auto"/>
              <w:jc w:val="both"/>
              <w:rPr>
                <w:b/>
              </w:rPr>
            </w:pPr>
          </w:p>
        </w:tc>
        <w:tc>
          <w:tcPr>
            <w:tcW w:w="1432" w:type="dxa"/>
          </w:tcPr>
          <w:p w14:paraId="39E263DB" w14:textId="77777777" w:rsidR="00D0416C" w:rsidRDefault="00D0416C" w:rsidP="00CB2046">
            <w:pPr>
              <w:keepNext/>
              <w:widowControl w:val="0"/>
              <w:spacing w:after="0" w:line="240" w:lineRule="auto"/>
              <w:jc w:val="both"/>
              <w:rPr>
                <w:b/>
              </w:rPr>
            </w:pPr>
          </w:p>
        </w:tc>
        <w:tc>
          <w:tcPr>
            <w:tcW w:w="1468" w:type="dxa"/>
          </w:tcPr>
          <w:p w14:paraId="3D1D97FC" w14:textId="77777777" w:rsidR="00D0416C" w:rsidRDefault="00D0416C" w:rsidP="00CB2046">
            <w:pPr>
              <w:keepNext/>
              <w:widowControl w:val="0"/>
              <w:spacing w:after="0" w:line="240" w:lineRule="auto"/>
              <w:jc w:val="both"/>
              <w:rPr>
                <w:b/>
              </w:rPr>
            </w:pPr>
          </w:p>
        </w:tc>
        <w:tc>
          <w:tcPr>
            <w:tcW w:w="1468" w:type="dxa"/>
          </w:tcPr>
          <w:p w14:paraId="335C66B4" w14:textId="77777777" w:rsidR="00D0416C" w:rsidRDefault="00D0416C" w:rsidP="00CB2046">
            <w:pPr>
              <w:keepNext/>
              <w:widowControl w:val="0"/>
              <w:spacing w:after="0" w:line="240" w:lineRule="auto"/>
              <w:jc w:val="both"/>
              <w:rPr>
                <w:b/>
              </w:rPr>
            </w:pPr>
          </w:p>
        </w:tc>
        <w:tc>
          <w:tcPr>
            <w:tcW w:w="1468" w:type="dxa"/>
          </w:tcPr>
          <w:p w14:paraId="7ADCDE28" w14:textId="77777777" w:rsidR="00D0416C" w:rsidRDefault="00D0416C" w:rsidP="00CB2046">
            <w:pPr>
              <w:keepNext/>
              <w:widowControl w:val="0"/>
              <w:spacing w:after="0" w:line="240" w:lineRule="auto"/>
              <w:jc w:val="both"/>
              <w:rPr>
                <w:b/>
              </w:rPr>
            </w:pPr>
          </w:p>
        </w:tc>
      </w:tr>
    </w:tbl>
    <w:p w14:paraId="6847FDC1" w14:textId="77777777" w:rsidR="00D0416C" w:rsidRDefault="002B09DF" w:rsidP="00CB2046">
      <w:pPr>
        <w:pStyle w:val="Caption"/>
        <w:jc w:val="both"/>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65EF1">
        <w:rPr>
          <w:rFonts w:asciiTheme="minorHAnsi" w:hAnsiTheme="minorHAnsi"/>
          <w:noProof/>
        </w:rPr>
        <w:t>9</w:t>
      </w:r>
      <w:r>
        <w:rPr>
          <w:rFonts w:asciiTheme="minorHAnsi" w:hAnsiTheme="minorHAnsi"/>
        </w:rPr>
        <w:fldChar w:fldCharType="end"/>
      </w:r>
      <w:r>
        <w:rPr>
          <w:rFonts w:asciiTheme="minorHAnsi" w:hAnsiTheme="minorHAnsi"/>
        </w:rPr>
        <w:t xml:space="preserve"> – Minority Owners of Rental Property</w:t>
      </w:r>
    </w:p>
    <w:p w14:paraId="2CDEC150" w14:textId="77777777" w:rsidR="00D0416C" w:rsidRDefault="00D0416C" w:rsidP="00CB2046">
      <w:pPr>
        <w:widowControl w:val="0"/>
        <w:spacing w:line="204" w:lineRule="auto"/>
        <w:jc w:val="both"/>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0416C" w14:paraId="4D4565AA" w14:textId="77777777" w:rsidTr="00D07211">
        <w:tc>
          <w:tcPr>
            <w:tcW w:w="13176" w:type="dxa"/>
            <w:shd w:val="clear" w:color="auto" w:fill="BFBFBF" w:themeFill="background1" w:themeFillShade="BF"/>
          </w:tcPr>
          <w:p w14:paraId="78AAD8A0" w14:textId="77777777" w:rsidR="00D0416C" w:rsidRDefault="002B09DF" w:rsidP="00CB2046">
            <w:pPr>
              <w:keepNext/>
              <w:widowControl w:val="0"/>
              <w:spacing w:after="0" w:line="240" w:lineRule="auto"/>
              <w:jc w:val="both"/>
              <w:rPr>
                <w:b/>
              </w:rPr>
            </w:pPr>
            <w:r>
              <w:rPr>
                <w:b/>
              </w:rPr>
              <w:t xml:space="preserve">Relocation and Real Property Acquisition – </w:t>
            </w:r>
            <w:r>
              <w:t>Indicate the number of persons displaced, the cost of relocation payments, the number of parcels acquired, and the cost of acquisition</w:t>
            </w:r>
          </w:p>
        </w:tc>
      </w:tr>
    </w:tbl>
    <w:p w14:paraId="7A5A0831" w14:textId="77777777" w:rsidR="00D0416C" w:rsidRDefault="00D0416C" w:rsidP="00CB2046">
      <w:pPr>
        <w:keepNext/>
        <w:widowControl w:val="0"/>
        <w:spacing w:after="0" w:line="240" w:lineRule="auto"/>
        <w:jc w:val="both"/>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1"/>
        <w:gridCol w:w="1660"/>
        <w:gridCol w:w="1660"/>
      </w:tblGrid>
      <w:tr w:rsidR="00D0416C" w14:paraId="0E03B40D" w14:textId="77777777">
        <w:trPr>
          <w:cantSplit/>
          <w:hidden/>
        </w:trPr>
        <w:tc>
          <w:tcPr>
            <w:tcW w:w="4392" w:type="dxa"/>
          </w:tcPr>
          <w:p w14:paraId="6AF92D0B" w14:textId="77777777" w:rsidR="00D0416C" w:rsidRDefault="00D0416C" w:rsidP="00CB2046">
            <w:pPr>
              <w:keepNext/>
              <w:widowControl w:val="0"/>
              <w:spacing w:after="0" w:line="240" w:lineRule="auto"/>
              <w:jc w:val="both"/>
              <w:rPr>
                <w:b/>
                <w:vanish/>
              </w:rPr>
            </w:pPr>
          </w:p>
        </w:tc>
        <w:tc>
          <w:tcPr>
            <w:tcW w:w="2314" w:type="dxa"/>
          </w:tcPr>
          <w:p w14:paraId="7441F8E7" w14:textId="77777777" w:rsidR="00D0416C" w:rsidRDefault="002B09DF" w:rsidP="00CB2046">
            <w:pPr>
              <w:keepNext/>
              <w:widowControl w:val="0"/>
              <w:spacing w:after="0" w:line="240" w:lineRule="auto"/>
              <w:jc w:val="both"/>
              <w:rPr>
                <w:b/>
                <w:vanish/>
              </w:rPr>
            </w:pPr>
            <w:r>
              <w:rPr>
                <w:b/>
                <w:vanish/>
              </w:rPr>
              <w:t>Number</w:t>
            </w:r>
          </w:p>
        </w:tc>
        <w:tc>
          <w:tcPr>
            <w:tcW w:w="2314" w:type="dxa"/>
          </w:tcPr>
          <w:p w14:paraId="21F6A424" w14:textId="77777777" w:rsidR="00D0416C" w:rsidRDefault="002B09DF" w:rsidP="00CB2046">
            <w:pPr>
              <w:keepNext/>
              <w:widowControl w:val="0"/>
              <w:spacing w:after="0" w:line="240" w:lineRule="auto"/>
              <w:jc w:val="both"/>
              <w:rPr>
                <w:b/>
                <w:vanish/>
              </w:rPr>
            </w:pPr>
            <w:r>
              <w:rPr>
                <w:b/>
                <w:vanish/>
              </w:rPr>
              <w:t>Cost</w:t>
            </w:r>
          </w:p>
        </w:tc>
      </w:tr>
      <w:tr w:rsidR="00D0416C" w14:paraId="4B557187" w14:textId="77777777">
        <w:trPr>
          <w:cantSplit/>
        </w:trPr>
        <w:tc>
          <w:tcPr>
            <w:tcW w:w="4392" w:type="dxa"/>
          </w:tcPr>
          <w:p w14:paraId="3F1F0853" w14:textId="77777777" w:rsidR="00D0416C" w:rsidRDefault="002B09DF" w:rsidP="00CB2046">
            <w:pPr>
              <w:keepNext/>
              <w:spacing w:after="0" w:line="240" w:lineRule="auto"/>
              <w:jc w:val="both"/>
            </w:pPr>
            <w:r>
              <w:t>Parcels Acquired</w:t>
            </w:r>
          </w:p>
        </w:tc>
        <w:tc>
          <w:tcPr>
            <w:tcW w:w="2314" w:type="dxa"/>
          </w:tcPr>
          <w:p w14:paraId="248F3B6F" w14:textId="77777777" w:rsidR="00D0416C" w:rsidRDefault="00D0416C" w:rsidP="00CB2046">
            <w:pPr>
              <w:keepNext/>
              <w:widowControl w:val="0"/>
              <w:spacing w:after="0" w:line="240" w:lineRule="auto"/>
              <w:jc w:val="both"/>
              <w:rPr>
                <w:b/>
                <w:vanish/>
              </w:rPr>
            </w:pPr>
          </w:p>
        </w:tc>
        <w:tc>
          <w:tcPr>
            <w:tcW w:w="2314" w:type="dxa"/>
          </w:tcPr>
          <w:p w14:paraId="25E7DEA7" w14:textId="77777777" w:rsidR="00D0416C" w:rsidRDefault="00D0416C" w:rsidP="00CB2046">
            <w:pPr>
              <w:keepNext/>
              <w:widowControl w:val="0"/>
              <w:spacing w:after="0" w:line="240" w:lineRule="auto"/>
              <w:jc w:val="both"/>
              <w:rPr>
                <w:b/>
                <w:vanish/>
              </w:rPr>
            </w:pPr>
          </w:p>
        </w:tc>
      </w:tr>
      <w:tr w:rsidR="00D0416C" w14:paraId="0B99DD84" w14:textId="77777777">
        <w:trPr>
          <w:cantSplit/>
        </w:trPr>
        <w:tc>
          <w:tcPr>
            <w:tcW w:w="4392" w:type="dxa"/>
          </w:tcPr>
          <w:p w14:paraId="27F11F1D" w14:textId="77777777" w:rsidR="00D0416C" w:rsidRDefault="002B09DF" w:rsidP="00CB2046">
            <w:pPr>
              <w:keepNext/>
              <w:spacing w:after="0" w:line="240" w:lineRule="auto"/>
              <w:jc w:val="both"/>
            </w:pPr>
            <w:r>
              <w:t>Businesses Displaced</w:t>
            </w:r>
          </w:p>
        </w:tc>
        <w:tc>
          <w:tcPr>
            <w:tcW w:w="2314" w:type="dxa"/>
          </w:tcPr>
          <w:p w14:paraId="6843518E" w14:textId="77777777" w:rsidR="00D0416C" w:rsidRDefault="00D0416C" w:rsidP="00CB2046">
            <w:pPr>
              <w:keepNext/>
              <w:widowControl w:val="0"/>
              <w:spacing w:after="0" w:line="240" w:lineRule="auto"/>
              <w:jc w:val="both"/>
              <w:rPr>
                <w:b/>
                <w:vanish/>
              </w:rPr>
            </w:pPr>
          </w:p>
        </w:tc>
        <w:tc>
          <w:tcPr>
            <w:tcW w:w="2314" w:type="dxa"/>
          </w:tcPr>
          <w:p w14:paraId="799CB35D" w14:textId="77777777" w:rsidR="00D0416C" w:rsidRDefault="00D0416C" w:rsidP="00CB2046">
            <w:pPr>
              <w:keepNext/>
              <w:widowControl w:val="0"/>
              <w:spacing w:after="0" w:line="240" w:lineRule="auto"/>
              <w:jc w:val="both"/>
              <w:rPr>
                <w:b/>
                <w:vanish/>
              </w:rPr>
            </w:pPr>
          </w:p>
        </w:tc>
      </w:tr>
      <w:tr w:rsidR="00D0416C" w14:paraId="573504FE" w14:textId="77777777">
        <w:trPr>
          <w:cantSplit/>
        </w:trPr>
        <w:tc>
          <w:tcPr>
            <w:tcW w:w="4392" w:type="dxa"/>
          </w:tcPr>
          <w:p w14:paraId="28D3C5A1" w14:textId="77777777" w:rsidR="00D0416C" w:rsidRDefault="002B09DF" w:rsidP="00CB2046">
            <w:pPr>
              <w:keepNext/>
              <w:spacing w:after="0" w:line="240" w:lineRule="auto"/>
              <w:jc w:val="both"/>
            </w:pPr>
            <w:r>
              <w:t>Nonprofit Organizations Displaced</w:t>
            </w:r>
          </w:p>
        </w:tc>
        <w:tc>
          <w:tcPr>
            <w:tcW w:w="2314" w:type="dxa"/>
          </w:tcPr>
          <w:p w14:paraId="5F517F90" w14:textId="77777777" w:rsidR="00D0416C" w:rsidRDefault="00D0416C" w:rsidP="00CB2046">
            <w:pPr>
              <w:keepNext/>
              <w:widowControl w:val="0"/>
              <w:spacing w:after="0" w:line="240" w:lineRule="auto"/>
              <w:jc w:val="both"/>
              <w:rPr>
                <w:b/>
                <w:vanish/>
              </w:rPr>
            </w:pPr>
          </w:p>
        </w:tc>
        <w:tc>
          <w:tcPr>
            <w:tcW w:w="2314" w:type="dxa"/>
          </w:tcPr>
          <w:p w14:paraId="54979B7E" w14:textId="77777777" w:rsidR="00D0416C" w:rsidRDefault="00D0416C" w:rsidP="00CB2046">
            <w:pPr>
              <w:keepNext/>
              <w:widowControl w:val="0"/>
              <w:spacing w:after="0" w:line="240" w:lineRule="auto"/>
              <w:jc w:val="both"/>
              <w:rPr>
                <w:b/>
                <w:vanish/>
              </w:rPr>
            </w:pPr>
          </w:p>
        </w:tc>
      </w:tr>
      <w:tr w:rsidR="00D0416C" w14:paraId="12E80B34" w14:textId="77777777">
        <w:trPr>
          <w:cantSplit/>
        </w:trPr>
        <w:tc>
          <w:tcPr>
            <w:tcW w:w="4392" w:type="dxa"/>
          </w:tcPr>
          <w:p w14:paraId="280D6469" w14:textId="77777777" w:rsidR="00D0416C" w:rsidRDefault="002B09DF" w:rsidP="00CB2046">
            <w:pPr>
              <w:keepNext/>
              <w:spacing w:after="0" w:line="240" w:lineRule="auto"/>
              <w:jc w:val="both"/>
            </w:pPr>
            <w:r>
              <w:t>Households Temporarily Relocated, not Displaced</w:t>
            </w:r>
          </w:p>
        </w:tc>
        <w:tc>
          <w:tcPr>
            <w:tcW w:w="2314" w:type="dxa"/>
          </w:tcPr>
          <w:p w14:paraId="24D1C558" w14:textId="77777777" w:rsidR="00D0416C" w:rsidRDefault="00D0416C" w:rsidP="00CB2046">
            <w:pPr>
              <w:keepNext/>
              <w:widowControl w:val="0"/>
              <w:spacing w:after="0" w:line="240" w:lineRule="auto"/>
              <w:jc w:val="both"/>
              <w:rPr>
                <w:b/>
                <w:vanish/>
              </w:rPr>
            </w:pPr>
          </w:p>
        </w:tc>
        <w:tc>
          <w:tcPr>
            <w:tcW w:w="2314" w:type="dxa"/>
          </w:tcPr>
          <w:p w14:paraId="1E8C9976" w14:textId="77777777" w:rsidR="00D0416C" w:rsidRDefault="00D0416C" w:rsidP="00CB2046">
            <w:pPr>
              <w:keepNext/>
              <w:widowControl w:val="0"/>
              <w:spacing w:after="0" w:line="240" w:lineRule="auto"/>
              <w:jc w:val="both"/>
              <w:rPr>
                <w:b/>
                <w:vanish/>
              </w:rPr>
            </w:pPr>
          </w:p>
        </w:tc>
      </w:tr>
    </w:tbl>
    <w:p w14:paraId="6B027A5E" w14:textId="77777777" w:rsidR="00D0416C" w:rsidRDefault="00D0416C" w:rsidP="00CB2046">
      <w:pPr>
        <w:widowControl w:val="0"/>
        <w:spacing w:after="0" w:line="240" w:lineRule="auto"/>
        <w:jc w:val="both"/>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3"/>
        <w:gridCol w:w="784"/>
        <w:gridCol w:w="1459"/>
        <w:gridCol w:w="1366"/>
        <w:gridCol w:w="1403"/>
        <w:gridCol w:w="1402"/>
        <w:gridCol w:w="1403"/>
      </w:tblGrid>
      <w:tr w:rsidR="00D0416C" w14:paraId="0D3D392E" w14:textId="77777777">
        <w:trPr>
          <w:cantSplit/>
        </w:trPr>
        <w:tc>
          <w:tcPr>
            <w:tcW w:w="1572" w:type="dxa"/>
            <w:vMerge w:val="restart"/>
          </w:tcPr>
          <w:p w14:paraId="591D55FE" w14:textId="77777777" w:rsidR="00D0416C" w:rsidRDefault="002B09DF" w:rsidP="00CB2046">
            <w:pPr>
              <w:keepNext/>
              <w:widowControl w:val="0"/>
              <w:spacing w:after="0" w:line="240" w:lineRule="auto"/>
              <w:jc w:val="both"/>
              <w:rPr>
                <w:b/>
              </w:rPr>
            </w:pPr>
            <w:r>
              <w:rPr>
                <w:b/>
              </w:rPr>
              <w:t>Households Displaced</w:t>
            </w:r>
          </w:p>
        </w:tc>
        <w:tc>
          <w:tcPr>
            <w:tcW w:w="800" w:type="dxa"/>
            <w:vMerge w:val="restart"/>
          </w:tcPr>
          <w:p w14:paraId="5578D633" w14:textId="77777777" w:rsidR="00D0416C" w:rsidRDefault="002B09DF" w:rsidP="00CB2046">
            <w:pPr>
              <w:keepNext/>
              <w:widowControl w:val="0"/>
              <w:spacing w:after="0" w:line="240" w:lineRule="auto"/>
              <w:jc w:val="both"/>
              <w:rPr>
                <w:b/>
              </w:rPr>
            </w:pPr>
            <w:r>
              <w:rPr>
                <w:b/>
              </w:rPr>
              <w:t>Total</w:t>
            </w:r>
          </w:p>
        </w:tc>
        <w:tc>
          <w:tcPr>
            <w:tcW w:w="5767" w:type="dxa"/>
            <w:gridSpan w:val="4"/>
          </w:tcPr>
          <w:p w14:paraId="17BE5612" w14:textId="77777777" w:rsidR="00D0416C" w:rsidRDefault="002B09DF" w:rsidP="00CB2046">
            <w:pPr>
              <w:keepNext/>
              <w:widowControl w:val="0"/>
              <w:spacing w:after="0" w:line="240" w:lineRule="auto"/>
              <w:jc w:val="both"/>
              <w:rPr>
                <w:b/>
              </w:rPr>
            </w:pPr>
            <w:r>
              <w:rPr>
                <w:b/>
              </w:rPr>
              <w:t>Minority Property Enterprises</w:t>
            </w:r>
          </w:p>
        </w:tc>
        <w:tc>
          <w:tcPr>
            <w:tcW w:w="1437" w:type="dxa"/>
            <w:vMerge w:val="restart"/>
          </w:tcPr>
          <w:p w14:paraId="7BF8A775" w14:textId="77777777" w:rsidR="00D0416C" w:rsidRDefault="002B09DF" w:rsidP="00CB2046">
            <w:pPr>
              <w:keepNext/>
              <w:widowControl w:val="0"/>
              <w:spacing w:after="0" w:line="240" w:lineRule="auto"/>
              <w:jc w:val="both"/>
              <w:rPr>
                <w:b/>
              </w:rPr>
            </w:pPr>
            <w:r>
              <w:rPr>
                <w:b/>
              </w:rPr>
              <w:t>White Non-Hispanic</w:t>
            </w:r>
          </w:p>
        </w:tc>
      </w:tr>
      <w:tr w:rsidR="00D0416C" w14:paraId="43423EE5" w14:textId="77777777">
        <w:trPr>
          <w:cantSplit/>
        </w:trPr>
        <w:tc>
          <w:tcPr>
            <w:tcW w:w="1572" w:type="dxa"/>
            <w:vMerge/>
          </w:tcPr>
          <w:p w14:paraId="00C74EFD" w14:textId="77777777" w:rsidR="00D0416C" w:rsidRDefault="00D0416C" w:rsidP="00CB2046">
            <w:pPr>
              <w:keepNext/>
              <w:widowControl w:val="0"/>
              <w:spacing w:after="0" w:line="240" w:lineRule="auto"/>
              <w:jc w:val="both"/>
              <w:rPr>
                <w:b/>
              </w:rPr>
            </w:pPr>
          </w:p>
        </w:tc>
        <w:tc>
          <w:tcPr>
            <w:tcW w:w="800" w:type="dxa"/>
            <w:vMerge/>
          </w:tcPr>
          <w:p w14:paraId="792DF901" w14:textId="77777777" w:rsidR="00D0416C" w:rsidRDefault="00D0416C" w:rsidP="00CB2046">
            <w:pPr>
              <w:keepNext/>
              <w:widowControl w:val="0"/>
              <w:spacing w:after="0" w:line="240" w:lineRule="auto"/>
              <w:jc w:val="both"/>
              <w:rPr>
                <w:b/>
              </w:rPr>
            </w:pPr>
          </w:p>
        </w:tc>
        <w:tc>
          <w:tcPr>
            <w:tcW w:w="1495" w:type="dxa"/>
          </w:tcPr>
          <w:p w14:paraId="73B684F0" w14:textId="77777777" w:rsidR="00D0416C" w:rsidRDefault="002B09DF" w:rsidP="00CB2046">
            <w:pPr>
              <w:keepNext/>
              <w:widowControl w:val="0"/>
              <w:jc w:val="both"/>
              <w:rPr>
                <w:b/>
              </w:rPr>
            </w:pPr>
            <w:r>
              <w:rPr>
                <w:b/>
              </w:rPr>
              <w:t>Alaskan Native or American Indian</w:t>
            </w:r>
          </w:p>
        </w:tc>
        <w:tc>
          <w:tcPr>
            <w:tcW w:w="1399" w:type="dxa"/>
          </w:tcPr>
          <w:p w14:paraId="3C16CE05" w14:textId="77777777" w:rsidR="00D0416C" w:rsidRDefault="002B09DF" w:rsidP="00CB2046">
            <w:pPr>
              <w:keepNext/>
              <w:widowControl w:val="0"/>
              <w:ind w:right="-28"/>
              <w:jc w:val="both"/>
              <w:rPr>
                <w:b/>
              </w:rPr>
            </w:pPr>
            <w:r>
              <w:rPr>
                <w:b/>
              </w:rPr>
              <w:t>Asian or Pacific Islander</w:t>
            </w:r>
          </w:p>
        </w:tc>
        <w:tc>
          <w:tcPr>
            <w:tcW w:w="1437" w:type="dxa"/>
          </w:tcPr>
          <w:p w14:paraId="51EA5FC5" w14:textId="77777777" w:rsidR="00D0416C" w:rsidRDefault="002B09DF" w:rsidP="00CB2046">
            <w:pPr>
              <w:keepNext/>
              <w:widowControl w:val="0"/>
              <w:jc w:val="both"/>
              <w:rPr>
                <w:b/>
              </w:rPr>
            </w:pPr>
            <w:r>
              <w:rPr>
                <w:b/>
              </w:rPr>
              <w:t>Black Non-Hispanic</w:t>
            </w:r>
          </w:p>
        </w:tc>
        <w:tc>
          <w:tcPr>
            <w:tcW w:w="1436" w:type="dxa"/>
          </w:tcPr>
          <w:p w14:paraId="2768ED1F" w14:textId="77777777" w:rsidR="00D0416C" w:rsidRDefault="002B09DF" w:rsidP="00CB2046">
            <w:pPr>
              <w:keepNext/>
              <w:widowControl w:val="0"/>
              <w:jc w:val="both"/>
              <w:rPr>
                <w:b/>
              </w:rPr>
            </w:pPr>
            <w:r>
              <w:rPr>
                <w:b/>
              </w:rPr>
              <w:t>Hispanic</w:t>
            </w:r>
          </w:p>
        </w:tc>
        <w:tc>
          <w:tcPr>
            <w:tcW w:w="1437" w:type="dxa"/>
            <w:vMerge/>
          </w:tcPr>
          <w:p w14:paraId="7F5D8EF5" w14:textId="77777777" w:rsidR="00D0416C" w:rsidRDefault="00D0416C" w:rsidP="00CB2046">
            <w:pPr>
              <w:keepNext/>
              <w:widowControl w:val="0"/>
              <w:spacing w:after="0" w:line="240" w:lineRule="auto"/>
              <w:jc w:val="both"/>
              <w:rPr>
                <w:b/>
              </w:rPr>
            </w:pPr>
          </w:p>
        </w:tc>
      </w:tr>
      <w:tr w:rsidR="00D0416C" w14:paraId="47A06EBD" w14:textId="77777777">
        <w:trPr>
          <w:cantSplit/>
        </w:trPr>
        <w:tc>
          <w:tcPr>
            <w:tcW w:w="1572" w:type="dxa"/>
          </w:tcPr>
          <w:p w14:paraId="5F73B4A0" w14:textId="77777777" w:rsidR="00D0416C" w:rsidRDefault="002B09DF" w:rsidP="00CB2046">
            <w:pPr>
              <w:keepNext/>
              <w:widowControl w:val="0"/>
              <w:spacing w:after="0" w:line="240" w:lineRule="auto"/>
              <w:jc w:val="both"/>
              <w:rPr>
                <w:b/>
              </w:rPr>
            </w:pPr>
            <w:r>
              <w:t>Number</w:t>
            </w:r>
          </w:p>
        </w:tc>
        <w:tc>
          <w:tcPr>
            <w:tcW w:w="800" w:type="dxa"/>
          </w:tcPr>
          <w:p w14:paraId="74E54B5E" w14:textId="77777777" w:rsidR="00D0416C" w:rsidRDefault="00D0416C" w:rsidP="00CB2046">
            <w:pPr>
              <w:keepNext/>
              <w:widowControl w:val="0"/>
              <w:spacing w:after="0" w:line="240" w:lineRule="auto"/>
              <w:jc w:val="both"/>
              <w:rPr>
                <w:b/>
              </w:rPr>
            </w:pPr>
          </w:p>
        </w:tc>
        <w:tc>
          <w:tcPr>
            <w:tcW w:w="1495" w:type="dxa"/>
          </w:tcPr>
          <w:p w14:paraId="1B894EE9" w14:textId="77777777" w:rsidR="00D0416C" w:rsidRDefault="00D0416C" w:rsidP="00CB2046">
            <w:pPr>
              <w:keepNext/>
              <w:widowControl w:val="0"/>
              <w:spacing w:after="0" w:line="240" w:lineRule="auto"/>
              <w:jc w:val="both"/>
              <w:rPr>
                <w:b/>
              </w:rPr>
            </w:pPr>
          </w:p>
        </w:tc>
        <w:tc>
          <w:tcPr>
            <w:tcW w:w="1399" w:type="dxa"/>
          </w:tcPr>
          <w:p w14:paraId="7DA4FA90" w14:textId="77777777" w:rsidR="00D0416C" w:rsidRDefault="00D0416C" w:rsidP="00CB2046">
            <w:pPr>
              <w:keepNext/>
              <w:widowControl w:val="0"/>
              <w:spacing w:after="0" w:line="240" w:lineRule="auto"/>
              <w:jc w:val="both"/>
              <w:rPr>
                <w:b/>
              </w:rPr>
            </w:pPr>
          </w:p>
        </w:tc>
        <w:tc>
          <w:tcPr>
            <w:tcW w:w="1437" w:type="dxa"/>
          </w:tcPr>
          <w:p w14:paraId="3D2D4FD0" w14:textId="77777777" w:rsidR="00D0416C" w:rsidRDefault="00D0416C" w:rsidP="00CB2046">
            <w:pPr>
              <w:keepNext/>
              <w:widowControl w:val="0"/>
              <w:spacing w:after="0" w:line="240" w:lineRule="auto"/>
              <w:jc w:val="both"/>
              <w:rPr>
                <w:b/>
              </w:rPr>
            </w:pPr>
          </w:p>
        </w:tc>
        <w:tc>
          <w:tcPr>
            <w:tcW w:w="1436" w:type="dxa"/>
          </w:tcPr>
          <w:p w14:paraId="0E5BAED0" w14:textId="77777777" w:rsidR="00D0416C" w:rsidRDefault="00D0416C" w:rsidP="00CB2046">
            <w:pPr>
              <w:keepNext/>
              <w:widowControl w:val="0"/>
              <w:spacing w:after="0" w:line="240" w:lineRule="auto"/>
              <w:jc w:val="both"/>
              <w:rPr>
                <w:b/>
              </w:rPr>
            </w:pPr>
          </w:p>
        </w:tc>
        <w:tc>
          <w:tcPr>
            <w:tcW w:w="1437" w:type="dxa"/>
          </w:tcPr>
          <w:p w14:paraId="6E4E29A4" w14:textId="77777777" w:rsidR="00D0416C" w:rsidRDefault="00D0416C" w:rsidP="00CB2046">
            <w:pPr>
              <w:keepNext/>
              <w:widowControl w:val="0"/>
              <w:spacing w:after="0" w:line="240" w:lineRule="auto"/>
              <w:jc w:val="both"/>
              <w:rPr>
                <w:b/>
              </w:rPr>
            </w:pPr>
          </w:p>
        </w:tc>
      </w:tr>
      <w:tr w:rsidR="00D0416C" w14:paraId="0E1D481D" w14:textId="77777777">
        <w:trPr>
          <w:cantSplit/>
        </w:trPr>
        <w:tc>
          <w:tcPr>
            <w:tcW w:w="1572" w:type="dxa"/>
          </w:tcPr>
          <w:p w14:paraId="70C533BB" w14:textId="77777777" w:rsidR="00D0416C" w:rsidRDefault="002B09DF" w:rsidP="00CB2046">
            <w:pPr>
              <w:keepNext/>
              <w:widowControl w:val="0"/>
              <w:spacing w:after="0" w:line="240" w:lineRule="auto"/>
              <w:jc w:val="both"/>
            </w:pPr>
            <w:r>
              <w:t>Cost</w:t>
            </w:r>
          </w:p>
        </w:tc>
        <w:tc>
          <w:tcPr>
            <w:tcW w:w="800" w:type="dxa"/>
          </w:tcPr>
          <w:p w14:paraId="585E7C6D" w14:textId="77777777" w:rsidR="00D0416C" w:rsidRDefault="00D0416C" w:rsidP="00CB2046">
            <w:pPr>
              <w:keepNext/>
              <w:widowControl w:val="0"/>
              <w:spacing w:after="0" w:line="240" w:lineRule="auto"/>
              <w:jc w:val="both"/>
              <w:rPr>
                <w:b/>
              </w:rPr>
            </w:pPr>
          </w:p>
        </w:tc>
        <w:tc>
          <w:tcPr>
            <w:tcW w:w="1495" w:type="dxa"/>
          </w:tcPr>
          <w:p w14:paraId="3BD8463A" w14:textId="77777777" w:rsidR="00D0416C" w:rsidRDefault="00D0416C" w:rsidP="00CB2046">
            <w:pPr>
              <w:keepNext/>
              <w:widowControl w:val="0"/>
              <w:spacing w:after="0" w:line="240" w:lineRule="auto"/>
              <w:jc w:val="both"/>
              <w:rPr>
                <w:b/>
              </w:rPr>
            </w:pPr>
          </w:p>
        </w:tc>
        <w:tc>
          <w:tcPr>
            <w:tcW w:w="1399" w:type="dxa"/>
          </w:tcPr>
          <w:p w14:paraId="730AF6BC" w14:textId="77777777" w:rsidR="00D0416C" w:rsidRDefault="00D0416C" w:rsidP="00CB2046">
            <w:pPr>
              <w:keepNext/>
              <w:widowControl w:val="0"/>
              <w:spacing w:after="0" w:line="240" w:lineRule="auto"/>
              <w:jc w:val="both"/>
              <w:rPr>
                <w:b/>
              </w:rPr>
            </w:pPr>
          </w:p>
        </w:tc>
        <w:tc>
          <w:tcPr>
            <w:tcW w:w="1437" w:type="dxa"/>
          </w:tcPr>
          <w:p w14:paraId="06A87812" w14:textId="77777777" w:rsidR="00D0416C" w:rsidRDefault="00D0416C" w:rsidP="00CB2046">
            <w:pPr>
              <w:keepNext/>
              <w:widowControl w:val="0"/>
              <w:spacing w:after="0" w:line="240" w:lineRule="auto"/>
              <w:jc w:val="both"/>
              <w:rPr>
                <w:b/>
              </w:rPr>
            </w:pPr>
          </w:p>
        </w:tc>
        <w:tc>
          <w:tcPr>
            <w:tcW w:w="1436" w:type="dxa"/>
          </w:tcPr>
          <w:p w14:paraId="08130211" w14:textId="77777777" w:rsidR="00D0416C" w:rsidRDefault="00D0416C" w:rsidP="00CB2046">
            <w:pPr>
              <w:keepNext/>
              <w:widowControl w:val="0"/>
              <w:spacing w:after="0" w:line="240" w:lineRule="auto"/>
              <w:jc w:val="both"/>
              <w:rPr>
                <w:b/>
              </w:rPr>
            </w:pPr>
          </w:p>
        </w:tc>
        <w:tc>
          <w:tcPr>
            <w:tcW w:w="1437" w:type="dxa"/>
          </w:tcPr>
          <w:p w14:paraId="5C42EA24" w14:textId="77777777" w:rsidR="00D0416C" w:rsidRDefault="00D0416C" w:rsidP="00CB2046">
            <w:pPr>
              <w:keepNext/>
              <w:widowControl w:val="0"/>
              <w:spacing w:after="0" w:line="240" w:lineRule="auto"/>
              <w:jc w:val="both"/>
              <w:rPr>
                <w:b/>
              </w:rPr>
            </w:pPr>
          </w:p>
        </w:tc>
      </w:tr>
    </w:tbl>
    <w:p w14:paraId="14643CA1" w14:textId="77777777" w:rsidR="00D0416C" w:rsidRDefault="002B09DF" w:rsidP="00CB2046">
      <w:pPr>
        <w:pStyle w:val="Caption"/>
        <w:jc w:val="both"/>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65EF1">
        <w:rPr>
          <w:rFonts w:asciiTheme="minorHAnsi" w:hAnsiTheme="minorHAnsi"/>
          <w:noProof/>
        </w:rPr>
        <w:t>10</w:t>
      </w:r>
      <w:r>
        <w:rPr>
          <w:rFonts w:asciiTheme="minorHAnsi" w:hAnsiTheme="minorHAnsi"/>
        </w:rPr>
        <w:fldChar w:fldCharType="end"/>
      </w:r>
      <w:r>
        <w:rPr>
          <w:rFonts w:asciiTheme="minorHAnsi" w:hAnsiTheme="minorHAnsi"/>
        </w:rPr>
        <w:t xml:space="preserve"> – Relocation and Real Property Acquisition</w:t>
      </w:r>
    </w:p>
    <w:p w14:paraId="6476B9E3" w14:textId="77777777" w:rsidR="00D0416C" w:rsidRDefault="00D0416C" w:rsidP="00CB2046">
      <w:pPr>
        <w:spacing w:after="0" w:line="240" w:lineRule="auto"/>
        <w:jc w:val="both"/>
        <w:rPr>
          <w:b/>
        </w:rPr>
      </w:pPr>
    </w:p>
    <w:p w14:paraId="39C62BA8" w14:textId="77777777" w:rsidR="00D0416C" w:rsidRDefault="00D0416C" w:rsidP="00CB2046">
      <w:pPr>
        <w:spacing w:after="0" w:line="240" w:lineRule="auto"/>
        <w:jc w:val="both"/>
        <w:rPr>
          <w:b/>
        </w:rPr>
      </w:pPr>
    </w:p>
    <w:p w14:paraId="02859EFB" w14:textId="3AE08EE0" w:rsidR="00D0416C" w:rsidRDefault="00D0416C" w:rsidP="00CB2046">
      <w:pPr>
        <w:widowControl w:val="0"/>
        <w:spacing w:after="0" w:line="240" w:lineRule="auto"/>
        <w:jc w:val="both"/>
        <w:rPr>
          <w:sz w:val="24"/>
          <w:szCs w:val="24"/>
        </w:rPr>
      </w:pPr>
    </w:p>
    <w:p w14:paraId="53D601AA" w14:textId="540AABE0" w:rsidR="00D07211" w:rsidRDefault="00D07211" w:rsidP="00CB2046">
      <w:pPr>
        <w:widowControl w:val="0"/>
        <w:spacing w:after="0" w:line="240" w:lineRule="auto"/>
        <w:jc w:val="both"/>
        <w:rPr>
          <w:sz w:val="24"/>
          <w:szCs w:val="24"/>
        </w:rPr>
      </w:pPr>
    </w:p>
    <w:p w14:paraId="38709767" w14:textId="14C5578C" w:rsidR="00D07211" w:rsidRDefault="00D07211" w:rsidP="00CB2046">
      <w:pPr>
        <w:widowControl w:val="0"/>
        <w:spacing w:after="0" w:line="240" w:lineRule="auto"/>
        <w:jc w:val="both"/>
        <w:rPr>
          <w:sz w:val="24"/>
          <w:szCs w:val="24"/>
        </w:rPr>
      </w:pPr>
    </w:p>
    <w:p w14:paraId="71BC4D74" w14:textId="7D227717" w:rsidR="00D07211" w:rsidRDefault="00D07211" w:rsidP="00CB2046">
      <w:pPr>
        <w:widowControl w:val="0"/>
        <w:spacing w:after="0" w:line="240" w:lineRule="auto"/>
        <w:jc w:val="both"/>
        <w:rPr>
          <w:sz w:val="24"/>
          <w:szCs w:val="24"/>
        </w:rPr>
      </w:pPr>
    </w:p>
    <w:p w14:paraId="2E3FB1AE" w14:textId="55AC6F25" w:rsidR="00D07211" w:rsidRDefault="00D07211" w:rsidP="00CB2046">
      <w:pPr>
        <w:widowControl w:val="0"/>
        <w:spacing w:after="0" w:line="240" w:lineRule="auto"/>
        <w:jc w:val="both"/>
        <w:rPr>
          <w:sz w:val="24"/>
          <w:szCs w:val="24"/>
        </w:rPr>
      </w:pPr>
    </w:p>
    <w:p w14:paraId="5330B4FC" w14:textId="6E9AB53E" w:rsidR="00D07211" w:rsidRDefault="00D07211" w:rsidP="00CB2046">
      <w:pPr>
        <w:widowControl w:val="0"/>
        <w:spacing w:after="0" w:line="240" w:lineRule="auto"/>
        <w:jc w:val="both"/>
        <w:rPr>
          <w:sz w:val="24"/>
          <w:szCs w:val="24"/>
        </w:rPr>
      </w:pPr>
    </w:p>
    <w:p w14:paraId="4027EFC7" w14:textId="403C8B65" w:rsidR="00D07211" w:rsidRDefault="00D07211" w:rsidP="00CB2046">
      <w:pPr>
        <w:widowControl w:val="0"/>
        <w:spacing w:after="0" w:line="240" w:lineRule="auto"/>
        <w:jc w:val="both"/>
        <w:rPr>
          <w:sz w:val="24"/>
          <w:szCs w:val="24"/>
        </w:rPr>
      </w:pPr>
    </w:p>
    <w:p w14:paraId="6DBC7AB4" w14:textId="2748E96F" w:rsidR="00D07211" w:rsidRDefault="00D07211" w:rsidP="00CB2046">
      <w:pPr>
        <w:widowControl w:val="0"/>
        <w:spacing w:after="0" w:line="240" w:lineRule="auto"/>
        <w:jc w:val="both"/>
        <w:rPr>
          <w:sz w:val="24"/>
          <w:szCs w:val="24"/>
        </w:rPr>
      </w:pPr>
    </w:p>
    <w:p w14:paraId="33300C09" w14:textId="250A09EF" w:rsidR="00D07211" w:rsidRDefault="00D07211" w:rsidP="00CB2046">
      <w:pPr>
        <w:widowControl w:val="0"/>
        <w:spacing w:after="0" w:line="240" w:lineRule="auto"/>
        <w:jc w:val="both"/>
        <w:rPr>
          <w:sz w:val="24"/>
          <w:szCs w:val="24"/>
        </w:rPr>
      </w:pPr>
    </w:p>
    <w:p w14:paraId="0D2BCD46" w14:textId="77777777" w:rsidR="00D07211" w:rsidRDefault="00D07211" w:rsidP="00CB2046">
      <w:pPr>
        <w:widowControl w:val="0"/>
        <w:spacing w:after="0" w:line="240" w:lineRule="auto"/>
        <w:jc w:val="both"/>
        <w:rPr>
          <w:sz w:val="24"/>
          <w:szCs w:val="24"/>
        </w:rPr>
      </w:pPr>
    </w:p>
    <w:p w14:paraId="5B30B995" w14:textId="77777777" w:rsidR="00D0416C" w:rsidRDefault="00D0416C" w:rsidP="00CB2046">
      <w:pPr>
        <w:spacing w:after="0" w:line="240" w:lineRule="auto"/>
        <w:jc w:val="both"/>
      </w:pPr>
      <w:bookmarkStart w:id="7" w:name="_Toc309810475"/>
    </w:p>
    <w:p w14:paraId="774C5E06" w14:textId="77777777" w:rsidR="00D0416C" w:rsidRDefault="00D0416C" w:rsidP="00CB2046">
      <w:pPr>
        <w:jc w:val="both"/>
        <w:sectPr w:rsidR="00D0416C" w:rsidSect="00365EF1">
          <w:type w:val="continuous"/>
          <w:pgSz w:w="12240" w:h="15840" w:code="1"/>
          <w:pgMar w:top="1440" w:right="1440" w:bottom="1440" w:left="1440" w:header="720" w:footer="720" w:gutter="0"/>
          <w:cols w:space="720"/>
          <w:docGrid w:linePitch="360"/>
        </w:sectPr>
      </w:pPr>
    </w:p>
    <w:p w14:paraId="47BFF54E" w14:textId="77777777" w:rsidR="00D0416C" w:rsidRPr="00D07211" w:rsidRDefault="002B09DF" w:rsidP="00D07211">
      <w:pPr>
        <w:pStyle w:val="Heading2"/>
        <w:shd w:val="clear" w:color="auto" w:fill="1F497D" w:themeFill="text2"/>
        <w:jc w:val="both"/>
        <w:rPr>
          <w:rFonts w:ascii="Calibri" w:hAnsi="Calibri"/>
          <w:i w:val="0"/>
          <w:color w:val="FFFFFF" w:themeColor="background1"/>
        </w:rPr>
      </w:pPr>
      <w:bookmarkStart w:id="8" w:name="_Toc86152493"/>
      <w:r w:rsidRPr="00D07211">
        <w:rPr>
          <w:rFonts w:ascii="Calibri" w:hAnsi="Calibri"/>
          <w:i w:val="0"/>
          <w:color w:val="FFFFFF" w:themeColor="background1"/>
        </w:rPr>
        <w:lastRenderedPageBreak/>
        <w:t>CR-20 - Affordable Housing 91.520(b)</w:t>
      </w:r>
      <w:bookmarkEnd w:id="8"/>
    </w:p>
    <w:p w14:paraId="2A32852F" w14:textId="7955DA62" w:rsidR="00D0416C" w:rsidRDefault="002B09DF" w:rsidP="00CB2046">
      <w:pPr>
        <w:keepNext/>
        <w:widowControl w:val="0"/>
        <w:spacing w:after="0" w:line="240" w:lineRule="auto"/>
        <w:jc w:val="both"/>
        <w:rPr>
          <w:b/>
          <w:sz w:val="24"/>
          <w:szCs w:val="24"/>
        </w:rPr>
      </w:pPr>
      <w:r>
        <w:rPr>
          <w:b/>
          <w:sz w:val="24"/>
          <w:szCs w:val="24"/>
        </w:rPr>
        <w:t xml:space="preserve">Evaluation of the </w:t>
      </w:r>
      <w:r w:rsidR="00D07211">
        <w:rPr>
          <w:b/>
          <w:sz w:val="24"/>
          <w:szCs w:val="24"/>
        </w:rPr>
        <w:t>J</w:t>
      </w:r>
      <w:r>
        <w:rPr>
          <w:b/>
          <w:sz w:val="24"/>
          <w:szCs w:val="24"/>
        </w:rPr>
        <w:t>urisdiction's progress in providing affordable housing, including the number and types of families served, the number of extremely low-income, low-income, moderate-income, and middle-income persons served.</w:t>
      </w:r>
    </w:p>
    <w:p w14:paraId="6F2C195D" w14:textId="77777777" w:rsidR="00D0416C" w:rsidRDefault="00D0416C" w:rsidP="00CB2046">
      <w:pPr>
        <w:keepNext/>
        <w:widowControl w:val="0"/>
        <w:spacing w:after="0" w:line="240" w:lineRule="auto"/>
        <w:jc w:val="both"/>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D0416C" w14:paraId="60435B0A" w14:textId="77777777" w:rsidTr="00D07211">
        <w:trPr>
          <w:cantSplit/>
          <w:tblHeader/>
        </w:trPr>
        <w:tc>
          <w:tcPr>
            <w:tcW w:w="4293" w:type="dxa"/>
            <w:shd w:val="clear" w:color="auto" w:fill="BFBFBF" w:themeFill="background1" w:themeFillShade="BF"/>
          </w:tcPr>
          <w:p w14:paraId="09D5F4F5" w14:textId="77777777" w:rsidR="00D0416C" w:rsidRDefault="00D0416C" w:rsidP="00CB2046">
            <w:pPr>
              <w:pStyle w:val="Caption"/>
              <w:keepNext/>
              <w:widowControl w:val="0"/>
              <w:jc w:val="both"/>
              <w:rPr>
                <w:rFonts w:ascii="Calibri" w:hAnsi="Calibri"/>
                <w:sz w:val="22"/>
                <w:szCs w:val="22"/>
              </w:rPr>
            </w:pPr>
          </w:p>
        </w:tc>
        <w:tc>
          <w:tcPr>
            <w:tcW w:w="2648" w:type="dxa"/>
            <w:shd w:val="clear" w:color="auto" w:fill="BFBFBF" w:themeFill="background1" w:themeFillShade="BF"/>
          </w:tcPr>
          <w:p w14:paraId="70230B54" w14:textId="77777777" w:rsidR="00D0416C" w:rsidRDefault="002B09DF" w:rsidP="00D07211">
            <w:pPr>
              <w:pStyle w:val="Caption"/>
              <w:keepNext/>
              <w:widowControl w:val="0"/>
              <w:jc w:val="center"/>
              <w:rPr>
                <w:rFonts w:ascii="Calibri" w:hAnsi="Calibri"/>
                <w:sz w:val="22"/>
                <w:szCs w:val="22"/>
              </w:rPr>
            </w:pPr>
            <w:r>
              <w:rPr>
                <w:rFonts w:ascii="Calibri" w:hAnsi="Calibri"/>
                <w:sz w:val="22"/>
                <w:szCs w:val="22"/>
              </w:rPr>
              <w:t>One-Year Goal</w:t>
            </w:r>
          </w:p>
        </w:tc>
        <w:tc>
          <w:tcPr>
            <w:tcW w:w="2649" w:type="dxa"/>
            <w:shd w:val="clear" w:color="auto" w:fill="BFBFBF" w:themeFill="background1" w:themeFillShade="BF"/>
          </w:tcPr>
          <w:p w14:paraId="0B769BCA" w14:textId="77777777" w:rsidR="00D0416C" w:rsidRDefault="002B09DF" w:rsidP="00D07211">
            <w:pPr>
              <w:pStyle w:val="Caption"/>
              <w:keepNext/>
              <w:widowControl w:val="0"/>
              <w:jc w:val="center"/>
              <w:rPr>
                <w:rFonts w:ascii="Calibri" w:hAnsi="Calibri"/>
                <w:sz w:val="22"/>
                <w:szCs w:val="22"/>
              </w:rPr>
            </w:pPr>
            <w:r>
              <w:rPr>
                <w:rFonts w:ascii="Calibri" w:hAnsi="Calibri"/>
                <w:sz w:val="22"/>
                <w:szCs w:val="22"/>
              </w:rPr>
              <w:t>Actual</w:t>
            </w:r>
          </w:p>
        </w:tc>
      </w:tr>
      <w:tr w:rsidR="00D0416C" w14:paraId="7382DBC4" w14:textId="77777777">
        <w:trPr>
          <w:cantSplit/>
        </w:trPr>
        <w:tc>
          <w:tcPr>
            <w:tcW w:w="4293" w:type="dxa"/>
            <w:vAlign w:val="bottom"/>
          </w:tcPr>
          <w:p w14:paraId="1308737D" w14:textId="77777777" w:rsidR="00D0416C" w:rsidRDefault="002B09DF" w:rsidP="00CB2046">
            <w:pPr>
              <w:spacing w:beforeAutospacing="1" w:afterAutospacing="1"/>
              <w:jc w:val="both"/>
            </w:pPr>
            <w:r>
              <w:rPr>
                <w:color w:val="000000"/>
              </w:rPr>
              <w:t>Number of Homeless households to be provided affordable housing units</w:t>
            </w:r>
          </w:p>
        </w:tc>
        <w:tc>
          <w:tcPr>
            <w:tcW w:w="2648" w:type="dxa"/>
            <w:vAlign w:val="bottom"/>
          </w:tcPr>
          <w:p w14:paraId="4643489E" w14:textId="77777777" w:rsidR="00D0416C" w:rsidRDefault="002B09DF" w:rsidP="00D07211">
            <w:pPr>
              <w:spacing w:beforeAutospacing="1" w:afterAutospacing="1"/>
              <w:jc w:val="center"/>
            </w:pPr>
            <w:r>
              <w:rPr>
                <w:color w:val="000000"/>
              </w:rPr>
              <w:t>25</w:t>
            </w:r>
          </w:p>
        </w:tc>
        <w:tc>
          <w:tcPr>
            <w:tcW w:w="2649" w:type="dxa"/>
            <w:vAlign w:val="bottom"/>
          </w:tcPr>
          <w:p w14:paraId="1E45B6CF" w14:textId="77777777" w:rsidR="00D0416C" w:rsidRDefault="005C0B3D" w:rsidP="00D07211">
            <w:pPr>
              <w:spacing w:beforeAutospacing="1" w:afterAutospacing="1"/>
              <w:jc w:val="center"/>
            </w:pPr>
            <w:r>
              <w:rPr>
                <w:color w:val="000000"/>
              </w:rPr>
              <w:t>25</w:t>
            </w:r>
          </w:p>
        </w:tc>
      </w:tr>
      <w:tr w:rsidR="00D0416C" w14:paraId="15EE15C2" w14:textId="77777777">
        <w:trPr>
          <w:cantSplit/>
        </w:trPr>
        <w:tc>
          <w:tcPr>
            <w:tcW w:w="4293" w:type="dxa"/>
            <w:vAlign w:val="bottom"/>
          </w:tcPr>
          <w:p w14:paraId="7E35F3B9" w14:textId="77777777" w:rsidR="00D0416C" w:rsidRDefault="002B09DF" w:rsidP="00CB2046">
            <w:pPr>
              <w:spacing w:beforeAutospacing="1" w:afterAutospacing="1"/>
              <w:jc w:val="both"/>
            </w:pPr>
            <w:r>
              <w:rPr>
                <w:color w:val="000000"/>
              </w:rPr>
              <w:t>Number of Non-Homeless households to be provided affordable housing units</w:t>
            </w:r>
          </w:p>
        </w:tc>
        <w:tc>
          <w:tcPr>
            <w:tcW w:w="2648" w:type="dxa"/>
            <w:vAlign w:val="bottom"/>
          </w:tcPr>
          <w:p w14:paraId="76D3F46B" w14:textId="77777777" w:rsidR="00D0416C" w:rsidRDefault="005C0B3D" w:rsidP="00D07211">
            <w:pPr>
              <w:spacing w:beforeAutospacing="1" w:afterAutospacing="1"/>
              <w:jc w:val="center"/>
            </w:pPr>
            <w:r>
              <w:rPr>
                <w:color w:val="000000"/>
              </w:rPr>
              <w:t>55</w:t>
            </w:r>
          </w:p>
        </w:tc>
        <w:tc>
          <w:tcPr>
            <w:tcW w:w="2649" w:type="dxa"/>
            <w:vAlign w:val="bottom"/>
          </w:tcPr>
          <w:p w14:paraId="3C54A296" w14:textId="77777777" w:rsidR="00D0416C" w:rsidRDefault="005C0B3D" w:rsidP="00D07211">
            <w:pPr>
              <w:spacing w:beforeAutospacing="1" w:afterAutospacing="1"/>
              <w:jc w:val="center"/>
            </w:pPr>
            <w:r>
              <w:rPr>
                <w:color w:val="000000"/>
              </w:rPr>
              <w:t>55</w:t>
            </w:r>
          </w:p>
        </w:tc>
      </w:tr>
      <w:tr w:rsidR="00D0416C" w14:paraId="4B786410" w14:textId="77777777">
        <w:trPr>
          <w:cantSplit/>
        </w:trPr>
        <w:tc>
          <w:tcPr>
            <w:tcW w:w="4293" w:type="dxa"/>
            <w:vAlign w:val="bottom"/>
          </w:tcPr>
          <w:p w14:paraId="69C56EF8" w14:textId="77777777" w:rsidR="00D0416C" w:rsidRDefault="002B09DF" w:rsidP="00CB2046">
            <w:pPr>
              <w:spacing w:beforeAutospacing="1" w:afterAutospacing="1"/>
              <w:jc w:val="both"/>
            </w:pPr>
            <w:r>
              <w:rPr>
                <w:color w:val="000000"/>
              </w:rPr>
              <w:t>Number of Special-Needs households to be provided affordable housing units</w:t>
            </w:r>
          </w:p>
        </w:tc>
        <w:tc>
          <w:tcPr>
            <w:tcW w:w="2648" w:type="dxa"/>
            <w:vAlign w:val="bottom"/>
          </w:tcPr>
          <w:p w14:paraId="563F0279" w14:textId="77777777" w:rsidR="00D0416C" w:rsidRDefault="005C0B3D" w:rsidP="00D07211">
            <w:pPr>
              <w:spacing w:beforeAutospacing="1" w:afterAutospacing="1"/>
              <w:jc w:val="center"/>
            </w:pPr>
            <w:r>
              <w:rPr>
                <w:color w:val="000000"/>
              </w:rPr>
              <w:t>10</w:t>
            </w:r>
          </w:p>
        </w:tc>
        <w:tc>
          <w:tcPr>
            <w:tcW w:w="2649" w:type="dxa"/>
            <w:vAlign w:val="bottom"/>
          </w:tcPr>
          <w:p w14:paraId="4A4EC8C1" w14:textId="77777777" w:rsidR="00D0416C" w:rsidRDefault="005C0B3D" w:rsidP="00D07211">
            <w:pPr>
              <w:spacing w:beforeAutospacing="1" w:afterAutospacing="1"/>
              <w:jc w:val="center"/>
            </w:pPr>
            <w:r>
              <w:rPr>
                <w:color w:val="000000"/>
              </w:rPr>
              <w:t>10</w:t>
            </w:r>
          </w:p>
        </w:tc>
      </w:tr>
      <w:tr w:rsidR="00D0416C" w14:paraId="5F743231" w14:textId="77777777" w:rsidTr="00D07211">
        <w:trPr>
          <w:cantSplit/>
        </w:trPr>
        <w:tc>
          <w:tcPr>
            <w:tcW w:w="4293" w:type="dxa"/>
            <w:shd w:val="clear" w:color="auto" w:fill="95B3D7" w:themeFill="accent1" w:themeFillTint="99"/>
          </w:tcPr>
          <w:p w14:paraId="64A38C62" w14:textId="77777777" w:rsidR="00D0416C" w:rsidRDefault="002B09DF" w:rsidP="00D07211">
            <w:pPr>
              <w:spacing w:beforeAutospacing="1" w:afterAutospacing="1"/>
              <w:jc w:val="right"/>
            </w:pPr>
            <w:r>
              <w:rPr>
                <w:b/>
                <w:color w:val="000000"/>
              </w:rPr>
              <w:t>Total</w:t>
            </w:r>
          </w:p>
        </w:tc>
        <w:tc>
          <w:tcPr>
            <w:tcW w:w="2648" w:type="dxa"/>
            <w:shd w:val="clear" w:color="auto" w:fill="95B3D7" w:themeFill="accent1" w:themeFillTint="99"/>
            <w:vAlign w:val="bottom"/>
          </w:tcPr>
          <w:p w14:paraId="714D6BE2" w14:textId="77777777" w:rsidR="00D0416C" w:rsidRDefault="005C0B3D" w:rsidP="00D07211">
            <w:pPr>
              <w:spacing w:beforeAutospacing="1" w:afterAutospacing="1"/>
              <w:jc w:val="center"/>
            </w:pPr>
            <w:r>
              <w:rPr>
                <w:b/>
                <w:color w:val="000000"/>
              </w:rPr>
              <w:t>90</w:t>
            </w:r>
          </w:p>
        </w:tc>
        <w:tc>
          <w:tcPr>
            <w:tcW w:w="2649" w:type="dxa"/>
            <w:shd w:val="clear" w:color="auto" w:fill="95B3D7" w:themeFill="accent1" w:themeFillTint="99"/>
            <w:vAlign w:val="bottom"/>
          </w:tcPr>
          <w:p w14:paraId="4230A69A" w14:textId="77777777" w:rsidR="00D0416C" w:rsidRDefault="005C0B3D" w:rsidP="00D07211">
            <w:pPr>
              <w:spacing w:beforeAutospacing="1" w:afterAutospacing="1"/>
              <w:jc w:val="center"/>
            </w:pPr>
            <w:r>
              <w:rPr>
                <w:b/>
                <w:color w:val="000000"/>
              </w:rPr>
              <w:t>90</w:t>
            </w:r>
          </w:p>
        </w:tc>
      </w:tr>
    </w:tbl>
    <w:p w14:paraId="07B67040" w14:textId="77777777" w:rsidR="00D0416C" w:rsidRDefault="002B09DF" w:rsidP="00CB2046">
      <w:pPr>
        <w:pStyle w:val="Caption"/>
        <w:jc w:val="both"/>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65EF1">
        <w:rPr>
          <w:rFonts w:asciiTheme="minorHAnsi" w:hAnsiTheme="minorHAnsi"/>
          <w:noProof/>
        </w:rPr>
        <w:t>11</w:t>
      </w:r>
      <w:r>
        <w:rPr>
          <w:rFonts w:asciiTheme="minorHAnsi" w:hAnsiTheme="minorHAnsi"/>
        </w:rPr>
        <w:fldChar w:fldCharType="end"/>
      </w:r>
      <w:r>
        <w:rPr>
          <w:rFonts w:asciiTheme="minorHAnsi" w:hAnsiTheme="minorHAnsi"/>
        </w:rPr>
        <w:t xml:space="preserve"> – Number of Households</w:t>
      </w:r>
    </w:p>
    <w:p w14:paraId="7CFCF0AF" w14:textId="77777777" w:rsidR="00D0416C" w:rsidRDefault="00D0416C" w:rsidP="00CB2046">
      <w:pPr>
        <w:jc w:val="both"/>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D0416C" w14:paraId="1FCD1B1B" w14:textId="77777777" w:rsidTr="00D07211">
        <w:trPr>
          <w:cantSplit/>
          <w:tblHeader/>
        </w:trPr>
        <w:tc>
          <w:tcPr>
            <w:tcW w:w="4183" w:type="dxa"/>
            <w:shd w:val="clear" w:color="auto" w:fill="BFBFBF" w:themeFill="background1" w:themeFillShade="BF"/>
          </w:tcPr>
          <w:p w14:paraId="0EAA5493" w14:textId="77777777" w:rsidR="00D0416C" w:rsidRDefault="00D0416C" w:rsidP="00CB2046">
            <w:pPr>
              <w:pStyle w:val="Caption"/>
              <w:keepNext/>
              <w:widowControl w:val="0"/>
              <w:jc w:val="both"/>
              <w:rPr>
                <w:rFonts w:ascii="Calibri" w:hAnsi="Calibri"/>
                <w:sz w:val="22"/>
                <w:szCs w:val="22"/>
              </w:rPr>
            </w:pPr>
          </w:p>
        </w:tc>
        <w:tc>
          <w:tcPr>
            <w:tcW w:w="2583" w:type="dxa"/>
            <w:shd w:val="clear" w:color="auto" w:fill="BFBFBF" w:themeFill="background1" w:themeFillShade="BF"/>
          </w:tcPr>
          <w:p w14:paraId="377B4D91" w14:textId="77777777" w:rsidR="00D0416C" w:rsidRDefault="002B09DF" w:rsidP="00D07211">
            <w:pPr>
              <w:pStyle w:val="Caption"/>
              <w:keepNext/>
              <w:widowControl w:val="0"/>
              <w:jc w:val="center"/>
              <w:rPr>
                <w:rFonts w:ascii="Calibri" w:hAnsi="Calibri"/>
                <w:sz w:val="22"/>
                <w:szCs w:val="22"/>
              </w:rPr>
            </w:pPr>
            <w:r>
              <w:rPr>
                <w:rFonts w:ascii="Calibri" w:hAnsi="Calibri"/>
                <w:sz w:val="22"/>
                <w:szCs w:val="22"/>
              </w:rPr>
              <w:t>One-Year Goal</w:t>
            </w:r>
          </w:p>
        </w:tc>
        <w:tc>
          <w:tcPr>
            <w:tcW w:w="2584" w:type="dxa"/>
            <w:shd w:val="clear" w:color="auto" w:fill="BFBFBF" w:themeFill="background1" w:themeFillShade="BF"/>
          </w:tcPr>
          <w:p w14:paraId="105B7611" w14:textId="77777777" w:rsidR="00D0416C" w:rsidRDefault="002B09DF" w:rsidP="00D07211">
            <w:pPr>
              <w:pStyle w:val="Caption"/>
              <w:keepNext/>
              <w:widowControl w:val="0"/>
              <w:jc w:val="center"/>
              <w:rPr>
                <w:rFonts w:ascii="Calibri" w:hAnsi="Calibri"/>
                <w:sz w:val="22"/>
                <w:szCs w:val="22"/>
              </w:rPr>
            </w:pPr>
            <w:r>
              <w:rPr>
                <w:rFonts w:ascii="Calibri" w:hAnsi="Calibri"/>
                <w:sz w:val="22"/>
                <w:szCs w:val="22"/>
              </w:rPr>
              <w:t>Actual</w:t>
            </w:r>
          </w:p>
        </w:tc>
      </w:tr>
      <w:tr w:rsidR="00D0416C" w14:paraId="6CBB1AA4" w14:textId="77777777" w:rsidTr="005C0B3D">
        <w:trPr>
          <w:cantSplit/>
        </w:trPr>
        <w:tc>
          <w:tcPr>
            <w:tcW w:w="4183" w:type="dxa"/>
            <w:vAlign w:val="bottom"/>
          </w:tcPr>
          <w:p w14:paraId="1A95A5BD" w14:textId="77777777" w:rsidR="00D0416C" w:rsidRDefault="002B09DF" w:rsidP="00CB2046">
            <w:pPr>
              <w:spacing w:beforeAutospacing="1" w:afterAutospacing="1"/>
              <w:jc w:val="both"/>
            </w:pPr>
            <w:bookmarkStart w:id="9" w:name="_Hlk86228498"/>
            <w:r>
              <w:rPr>
                <w:color w:val="000000"/>
              </w:rPr>
              <w:t>Number of households supported through Rental Assistance</w:t>
            </w:r>
            <w:bookmarkEnd w:id="9"/>
          </w:p>
        </w:tc>
        <w:tc>
          <w:tcPr>
            <w:tcW w:w="2583" w:type="dxa"/>
            <w:vAlign w:val="bottom"/>
          </w:tcPr>
          <w:p w14:paraId="7A040FB6" w14:textId="77777777" w:rsidR="00D0416C" w:rsidRDefault="002B09DF" w:rsidP="00D07211">
            <w:pPr>
              <w:spacing w:beforeAutospacing="1" w:afterAutospacing="1"/>
              <w:jc w:val="center"/>
            </w:pPr>
            <w:r>
              <w:rPr>
                <w:color w:val="000000"/>
              </w:rPr>
              <w:t>30</w:t>
            </w:r>
          </w:p>
        </w:tc>
        <w:tc>
          <w:tcPr>
            <w:tcW w:w="2584" w:type="dxa"/>
            <w:vAlign w:val="bottom"/>
          </w:tcPr>
          <w:p w14:paraId="08DBA0F9" w14:textId="77777777" w:rsidR="00D0416C" w:rsidRDefault="005C0B3D" w:rsidP="00D07211">
            <w:pPr>
              <w:spacing w:beforeAutospacing="1" w:afterAutospacing="1"/>
              <w:jc w:val="center"/>
            </w:pPr>
            <w:r>
              <w:rPr>
                <w:color w:val="000000"/>
              </w:rPr>
              <w:t>30</w:t>
            </w:r>
          </w:p>
        </w:tc>
      </w:tr>
      <w:tr w:rsidR="00D0416C" w14:paraId="34964FFF" w14:textId="77777777" w:rsidTr="005C0B3D">
        <w:trPr>
          <w:cantSplit/>
        </w:trPr>
        <w:tc>
          <w:tcPr>
            <w:tcW w:w="4183" w:type="dxa"/>
            <w:vAlign w:val="bottom"/>
          </w:tcPr>
          <w:p w14:paraId="60F9E988" w14:textId="77777777" w:rsidR="00D0416C" w:rsidRDefault="002B09DF" w:rsidP="00CB2046">
            <w:pPr>
              <w:spacing w:beforeAutospacing="1" w:afterAutospacing="1"/>
              <w:jc w:val="both"/>
            </w:pPr>
            <w:bookmarkStart w:id="10" w:name="_Hlk86228673"/>
            <w:r>
              <w:rPr>
                <w:color w:val="000000"/>
              </w:rPr>
              <w:t>Number of households supported through The Production of New Units</w:t>
            </w:r>
          </w:p>
        </w:tc>
        <w:tc>
          <w:tcPr>
            <w:tcW w:w="2583" w:type="dxa"/>
            <w:vAlign w:val="bottom"/>
          </w:tcPr>
          <w:p w14:paraId="6E80EC3B" w14:textId="77777777" w:rsidR="00D0416C" w:rsidRDefault="002B09DF" w:rsidP="00D07211">
            <w:pPr>
              <w:spacing w:beforeAutospacing="1" w:afterAutospacing="1"/>
              <w:jc w:val="center"/>
            </w:pPr>
            <w:r>
              <w:rPr>
                <w:color w:val="000000"/>
              </w:rPr>
              <w:t>5</w:t>
            </w:r>
          </w:p>
        </w:tc>
        <w:tc>
          <w:tcPr>
            <w:tcW w:w="2584" w:type="dxa"/>
            <w:vAlign w:val="bottom"/>
          </w:tcPr>
          <w:p w14:paraId="62F38DDD" w14:textId="77777777" w:rsidR="00D0416C" w:rsidRDefault="005C0B3D" w:rsidP="00D07211">
            <w:pPr>
              <w:spacing w:beforeAutospacing="1" w:afterAutospacing="1"/>
              <w:jc w:val="center"/>
            </w:pPr>
            <w:r>
              <w:rPr>
                <w:color w:val="000000"/>
              </w:rPr>
              <w:t>7</w:t>
            </w:r>
          </w:p>
        </w:tc>
      </w:tr>
      <w:tr w:rsidR="00D0416C" w14:paraId="5B90E5D9" w14:textId="77777777" w:rsidTr="005C0B3D">
        <w:trPr>
          <w:cantSplit/>
        </w:trPr>
        <w:tc>
          <w:tcPr>
            <w:tcW w:w="4183" w:type="dxa"/>
            <w:vAlign w:val="bottom"/>
          </w:tcPr>
          <w:p w14:paraId="0587B505" w14:textId="77777777" w:rsidR="00D0416C" w:rsidRDefault="002B09DF" w:rsidP="00CB2046">
            <w:pPr>
              <w:spacing w:beforeAutospacing="1" w:afterAutospacing="1"/>
              <w:jc w:val="both"/>
            </w:pPr>
            <w:r>
              <w:rPr>
                <w:color w:val="000000"/>
              </w:rPr>
              <w:t>Number of households supported through Rehab of Existing Units</w:t>
            </w:r>
          </w:p>
        </w:tc>
        <w:tc>
          <w:tcPr>
            <w:tcW w:w="2583" w:type="dxa"/>
            <w:vAlign w:val="bottom"/>
          </w:tcPr>
          <w:p w14:paraId="423829F4" w14:textId="77777777" w:rsidR="00D0416C" w:rsidRDefault="002B09DF" w:rsidP="00D07211">
            <w:pPr>
              <w:spacing w:beforeAutospacing="1" w:afterAutospacing="1"/>
              <w:jc w:val="center"/>
            </w:pPr>
            <w:r>
              <w:rPr>
                <w:color w:val="000000"/>
              </w:rPr>
              <w:t>5</w:t>
            </w:r>
          </w:p>
        </w:tc>
        <w:tc>
          <w:tcPr>
            <w:tcW w:w="2584" w:type="dxa"/>
            <w:vAlign w:val="bottom"/>
          </w:tcPr>
          <w:p w14:paraId="7FAE44C3" w14:textId="77777777" w:rsidR="00D0416C" w:rsidRDefault="005C0B3D" w:rsidP="00D07211">
            <w:pPr>
              <w:spacing w:beforeAutospacing="1" w:afterAutospacing="1"/>
              <w:jc w:val="center"/>
            </w:pPr>
            <w:r>
              <w:rPr>
                <w:color w:val="000000"/>
              </w:rPr>
              <w:t>26</w:t>
            </w:r>
          </w:p>
        </w:tc>
      </w:tr>
      <w:tr w:rsidR="00D0416C" w14:paraId="66E0CE88" w14:textId="77777777" w:rsidTr="005C0B3D">
        <w:trPr>
          <w:cantSplit/>
        </w:trPr>
        <w:tc>
          <w:tcPr>
            <w:tcW w:w="4183" w:type="dxa"/>
            <w:vAlign w:val="bottom"/>
          </w:tcPr>
          <w:p w14:paraId="60CE9D28" w14:textId="77777777" w:rsidR="00D0416C" w:rsidRDefault="002B09DF" w:rsidP="00CB2046">
            <w:pPr>
              <w:spacing w:beforeAutospacing="1" w:afterAutospacing="1"/>
              <w:jc w:val="both"/>
            </w:pPr>
            <w:r>
              <w:rPr>
                <w:color w:val="000000"/>
              </w:rPr>
              <w:t>Number of households supported through Acquisition of Existing Units</w:t>
            </w:r>
          </w:p>
        </w:tc>
        <w:tc>
          <w:tcPr>
            <w:tcW w:w="2583" w:type="dxa"/>
            <w:vAlign w:val="bottom"/>
          </w:tcPr>
          <w:p w14:paraId="716FF3E0" w14:textId="77777777" w:rsidR="00D0416C" w:rsidRDefault="002B09DF" w:rsidP="00D07211">
            <w:pPr>
              <w:spacing w:beforeAutospacing="1" w:afterAutospacing="1"/>
              <w:jc w:val="center"/>
            </w:pPr>
            <w:r>
              <w:rPr>
                <w:color w:val="000000"/>
              </w:rPr>
              <w:t>5</w:t>
            </w:r>
          </w:p>
        </w:tc>
        <w:tc>
          <w:tcPr>
            <w:tcW w:w="2584" w:type="dxa"/>
            <w:vAlign w:val="bottom"/>
          </w:tcPr>
          <w:p w14:paraId="6EEBCB3D" w14:textId="77777777" w:rsidR="00D0416C" w:rsidRDefault="005C0B3D" w:rsidP="00D07211">
            <w:pPr>
              <w:spacing w:beforeAutospacing="1" w:afterAutospacing="1"/>
              <w:jc w:val="center"/>
            </w:pPr>
            <w:r>
              <w:rPr>
                <w:color w:val="000000"/>
              </w:rPr>
              <w:t>1</w:t>
            </w:r>
          </w:p>
        </w:tc>
      </w:tr>
      <w:bookmarkEnd w:id="10"/>
      <w:tr w:rsidR="00D0416C" w14:paraId="3C2AC83F" w14:textId="77777777" w:rsidTr="00D07211">
        <w:trPr>
          <w:cantSplit/>
        </w:trPr>
        <w:tc>
          <w:tcPr>
            <w:tcW w:w="4183" w:type="dxa"/>
            <w:shd w:val="clear" w:color="auto" w:fill="95B3D7" w:themeFill="accent1" w:themeFillTint="99"/>
          </w:tcPr>
          <w:p w14:paraId="59601C7C" w14:textId="77777777" w:rsidR="00D0416C" w:rsidRDefault="002B09DF" w:rsidP="00D07211">
            <w:pPr>
              <w:spacing w:beforeAutospacing="1" w:afterAutospacing="1"/>
              <w:jc w:val="right"/>
            </w:pPr>
            <w:r>
              <w:rPr>
                <w:b/>
                <w:color w:val="000000"/>
              </w:rPr>
              <w:t>Total</w:t>
            </w:r>
          </w:p>
        </w:tc>
        <w:tc>
          <w:tcPr>
            <w:tcW w:w="2583" w:type="dxa"/>
            <w:shd w:val="clear" w:color="auto" w:fill="95B3D7" w:themeFill="accent1" w:themeFillTint="99"/>
            <w:vAlign w:val="bottom"/>
          </w:tcPr>
          <w:p w14:paraId="57319C29" w14:textId="77777777" w:rsidR="00D0416C" w:rsidRDefault="002B09DF" w:rsidP="00D07211">
            <w:pPr>
              <w:spacing w:beforeAutospacing="1" w:afterAutospacing="1"/>
              <w:jc w:val="center"/>
            </w:pPr>
            <w:r>
              <w:rPr>
                <w:b/>
                <w:color w:val="000000"/>
              </w:rPr>
              <w:t>45</w:t>
            </w:r>
          </w:p>
        </w:tc>
        <w:tc>
          <w:tcPr>
            <w:tcW w:w="2584" w:type="dxa"/>
            <w:shd w:val="clear" w:color="auto" w:fill="95B3D7" w:themeFill="accent1" w:themeFillTint="99"/>
            <w:vAlign w:val="bottom"/>
          </w:tcPr>
          <w:p w14:paraId="2540A5F1" w14:textId="77777777" w:rsidR="00D0416C" w:rsidRDefault="005C0B3D" w:rsidP="00D07211">
            <w:pPr>
              <w:spacing w:beforeAutospacing="1" w:afterAutospacing="1"/>
              <w:jc w:val="center"/>
            </w:pPr>
            <w:r>
              <w:rPr>
                <w:b/>
                <w:color w:val="000000"/>
              </w:rPr>
              <w:t>64</w:t>
            </w:r>
          </w:p>
        </w:tc>
      </w:tr>
    </w:tbl>
    <w:p w14:paraId="5050ED7B" w14:textId="77777777" w:rsidR="00D0416C" w:rsidRDefault="002B09DF" w:rsidP="00CB2046">
      <w:pPr>
        <w:pStyle w:val="Caption"/>
        <w:jc w:val="both"/>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65EF1">
        <w:rPr>
          <w:rFonts w:asciiTheme="minorHAnsi" w:hAnsiTheme="minorHAnsi"/>
          <w:noProof/>
        </w:rPr>
        <w:t>12</w:t>
      </w:r>
      <w:r>
        <w:rPr>
          <w:rFonts w:asciiTheme="minorHAnsi" w:hAnsiTheme="minorHAnsi"/>
        </w:rPr>
        <w:fldChar w:fldCharType="end"/>
      </w:r>
      <w:r>
        <w:rPr>
          <w:rFonts w:asciiTheme="minorHAnsi" w:hAnsiTheme="minorHAnsi"/>
        </w:rPr>
        <w:t xml:space="preserve"> – Number of Households Supported</w:t>
      </w:r>
    </w:p>
    <w:p w14:paraId="4BB3644B" w14:textId="77777777" w:rsidR="00D0416C" w:rsidRDefault="00D0416C" w:rsidP="00CB2046">
      <w:pPr>
        <w:jc w:val="both"/>
        <w:rPr>
          <w:rFonts w:cs="Arial"/>
        </w:rPr>
      </w:pPr>
    </w:p>
    <w:p w14:paraId="3C1B7E91" w14:textId="77777777" w:rsidR="00D0416C" w:rsidRDefault="002B09DF" w:rsidP="00CB2046">
      <w:pPr>
        <w:widowControl w:val="0"/>
        <w:spacing w:line="204" w:lineRule="auto"/>
        <w:jc w:val="both"/>
        <w:rPr>
          <w:b/>
          <w:sz w:val="24"/>
          <w:szCs w:val="24"/>
        </w:rPr>
      </w:pPr>
      <w:r>
        <w:rPr>
          <w:b/>
          <w:sz w:val="24"/>
          <w:szCs w:val="24"/>
        </w:rPr>
        <w:t>Discuss the difference between goals and outcomes and problems encountered in meeting these goals.</w:t>
      </w:r>
    </w:p>
    <w:p w14:paraId="05D35B0B" w14:textId="6373CB9C" w:rsidR="004C75FF" w:rsidRPr="004C75FF" w:rsidRDefault="004C75FF" w:rsidP="004C75FF">
      <w:pPr>
        <w:spacing w:beforeAutospacing="1" w:afterAutospacing="1"/>
        <w:jc w:val="both"/>
        <w:rPr>
          <w:rFonts w:asciiTheme="minorHAnsi" w:hAnsiTheme="minorHAnsi" w:cstheme="minorHAnsi"/>
          <w:sz w:val="23"/>
          <w:szCs w:val="23"/>
        </w:rPr>
      </w:pPr>
      <w:r w:rsidRPr="004C75FF">
        <w:rPr>
          <w:rFonts w:asciiTheme="minorHAnsi" w:hAnsiTheme="minorHAnsi" w:cstheme="minorHAnsi"/>
          <w:sz w:val="23"/>
          <w:szCs w:val="23"/>
        </w:rPr>
        <w:t>The lack of quality affordable housing choice</w:t>
      </w:r>
      <w:r w:rsidR="00D07211">
        <w:rPr>
          <w:rFonts w:asciiTheme="minorHAnsi" w:hAnsiTheme="minorHAnsi" w:cstheme="minorHAnsi"/>
          <w:sz w:val="23"/>
          <w:szCs w:val="23"/>
        </w:rPr>
        <w:t>s</w:t>
      </w:r>
      <w:r w:rsidRPr="004C75FF">
        <w:rPr>
          <w:rFonts w:asciiTheme="minorHAnsi" w:hAnsiTheme="minorHAnsi" w:cstheme="minorHAnsi"/>
          <w:sz w:val="23"/>
          <w:szCs w:val="23"/>
        </w:rPr>
        <w:t xml:space="preserve"> can </w:t>
      </w:r>
      <w:r w:rsidR="00D07211">
        <w:rPr>
          <w:rFonts w:asciiTheme="minorHAnsi" w:hAnsiTheme="minorHAnsi" w:cstheme="minorHAnsi"/>
          <w:sz w:val="23"/>
          <w:szCs w:val="23"/>
        </w:rPr>
        <w:t>impede</w:t>
      </w:r>
      <w:r w:rsidRPr="004C75FF">
        <w:rPr>
          <w:rFonts w:asciiTheme="minorHAnsi" w:hAnsiTheme="minorHAnsi" w:cstheme="minorHAnsi"/>
          <w:sz w:val="23"/>
          <w:szCs w:val="23"/>
        </w:rPr>
        <w:t xml:space="preserve"> fair housing to foster decent, safe, and affordable housing. The City of Anniston will continue to collaborate and partner with local nonprofit housing developers, for-profit builders, the Anniston Housing Authority, and the residents of the City to measure the needs, discuss the issues and find solutions to problems of the Anniston housing market. Through these programs, the City of Anniston will work to foster and maintain decent and affordable housing for low-income residents of Anniston through rehabilitation programs and new construction projects. </w:t>
      </w:r>
    </w:p>
    <w:p w14:paraId="18586AB9" w14:textId="77777777" w:rsidR="00D0416C" w:rsidRPr="004C75FF" w:rsidRDefault="002B09DF" w:rsidP="00CB2046">
      <w:pPr>
        <w:widowControl w:val="0"/>
        <w:spacing w:line="204" w:lineRule="auto"/>
        <w:jc w:val="both"/>
        <w:rPr>
          <w:b/>
          <w:sz w:val="23"/>
          <w:szCs w:val="23"/>
        </w:rPr>
      </w:pPr>
      <w:r w:rsidRPr="004C75FF">
        <w:rPr>
          <w:b/>
          <w:sz w:val="23"/>
          <w:szCs w:val="23"/>
        </w:rPr>
        <w:t>Discuss how these outcomes will impact future annual action plans.</w:t>
      </w:r>
    </w:p>
    <w:p w14:paraId="1302F7C1" w14:textId="77777777" w:rsidR="004C75FF" w:rsidRPr="004C75FF" w:rsidRDefault="004C75FF" w:rsidP="004C75FF">
      <w:pPr>
        <w:keepNext/>
        <w:widowControl w:val="0"/>
        <w:spacing w:before="100" w:beforeAutospacing="1" w:after="100" w:afterAutospacing="1"/>
        <w:jc w:val="both"/>
        <w:rPr>
          <w:rFonts w:asciiTheme="minorHAnsi" w:hAnsiTheme="minorHAnsi" w:cstheme="minorHAnsi"/>
          <w:bCs/>
          <w:sz w:val="23"/>
          <w:szCs w:val="23"/>
        </w:rPr>
      </w:pPr>
      <w:r w:rsidRPr="004C75FF">
        <w:rPr>
          <w:rFonts w:asciiTheme="minorHAnsi" w:hAnsiTheme="minorHAnsi" w:cstheme="minorHAnsi"/>
          <w:bCs/>
          <w:sz w:val="23"/>
          <w:szCs w:val="23"/>
        </w:rPr>
        <w:t xml:space="preserve">The outcomes of the annual goals, as stated in the Annual Action Plan/Consolidated Plan, are aimed </w:t>
      </w:r>
      <w:r w:rsidRPr="004C75FF">
        <w:rPr>
          <w:rFonts w:asciiTheme="minorHAnsi" w:hAnsiTheme="minorHAnsi" w:cstheme="minorHAnsi"/>
          <w:bCs/>
          <w:sz w:val="23"/>
          <w:szCs w:val="23"/>
        </w:rPr>
        <w:lastRenderedPageBreak/>
        <w:t xml:space="preserve">at creating the opportunity for adequate, affordable housing for extremely low-to-moderate income persons, minor home repair, rehabilitation of single-family housing, provision of rental assistance, new construction, and development of partnerships.  </w:t>
      </w:r>
    </w:p>
    <w:p w14:paraId="0C32340D" w14:textId="6C05CAE9" w:rsidR="004C75FF" w:rsidRDefault="002B09DF" w:rsidP="00CB2046">
      <w:pPr>
        <w:keepNext/>
        <w:widowControl w:val="0"/>
        <w:spacing w:line="204" w:lineRule="auto"/>
        <w:jc w:val="both"/>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p w14:paraId="7D0385B3" w14:textId="77777777" w:rsidR="00D0416C" w:rsidRDefault="00D0416C" w:rsidP="00CB2046">
      <w:pPr>
        <w:widowControl w:val="0"/>
        <w:spacing w:line="204" w:lineRule="auto"/>
        <w:jc w:val="both"/>
        <w:rPr>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950"/>
      </w:tblGrid>
      <w:tr w:rsidR="00D0416C" w14:paraId="138D00FB" w14:textId="77777777" w:rsidTr="00D07211">
        <w:trPr>
          <w:cantSplit/>
        </w:trPr>
        <w:tc>
          <w:tcPr>
            <w:tcW w:w="4081" w:type="dxa"/>
            <w:shd w:val="clear" w:color="auto" w:fill="BFBFBF" w:themeFill="background1" w:themeFillShade="BF"/>
          </w:tcPr>
          <w:p w14:paraId="0B2D1FF6" w14:textId="77777777" w:rsidR="00D0416C" w:rsidRDefault="002B09DF" w:rsidP="00CB2046">
            <w:pPr>
              <w:keepNext/>
              <w:widowControl w:val="0"/>
              <w:spacing w:after="0" w:line="240" w:lineRule="auto"/>
              <w:jc w:val="both"/>
              <w:rPr>
                <w:b/>
              </w:rPr>
            </w:pPr>
            <w:bookmarkStart w:id="11" w:name="_Hlk86228727"/>
            <w:r>
              <w:rPr>
                <w:b/>
              </w:rPr>
              <w:t>Number  of Households Served</w:t>
            </w:r>
          </w:p>
        </w:tc>
        <w:tc>
          <w:tcPr>
            <w:tcW w:w="1859" w:type="dxa"/>
            <w:shd w:val="clear" w:color="auto" w:fill="BFBFBF" w:themeFill="background1" w:themeFillShade="BF"/>
          </w:tcPr>
          <w:p w14:paraId="5D2FE4A0" w14:textId="77777777" w:rsidR="00D0416C" w:rsidRDefault="002B09DF" w:rsidP="00D07211">
            <w:pPr>
              <w:keepNext/>
              <w:widowControl w:val="0"/>
              <w:spacing w:after="0" w:line="240" w:lineRule="auto"/>
              <w:jc w:val="center"/>
              <w:rPr>
                <w:b/>
              </w:rPr>
            </w:pPr>
            <w:r>
              <w:rPr>
                <w:b/>
              </w:rPr>
              <w:t>CDBG Actual</w:t>
            </w:r>
          </w:p>
        </w:tc>
        <w:tc>
          <w:tcPr>
            <w:tcW w:w="1950" w:type="dxa"/>
            <w:shd w:val="clear" w:color="auto" w:fill="BFBFBF" w:themeFill="background1" w:themeFillShade="BF"/>
          </w:tcPr>
          <w:p w14:paraId="1162BA2D" w14:textId="77777777" w:rsidR="00D0416C" w:rsidRDefault="002B09DF" w:rsidP="00D07211">
            <w:pPr>
              <w:keepNext/>
              <w:widowControl w:val="0"/>
              <w:spacing w:after="0" w:line="240" w:lineRule="auto"/>
              <w:jc w:val="center"/>
              <w:rPr>
                <w:b/>
              </w:rPr>
            </w:pPr>
            <w:r>
              <w:rPr>
                <w:b/>
              </w:rPr>
              <w:t>HOME Actual</w:t>
            </w:r>
          </w:p>
        </w:tc>
      </w:tr>
      <w:tr w:rsidR="00D0416C" w14:paraId="02FE5AF1" w14:textId="77777777" w:rsidTr="00D07211">
        <w:trPr>
          <w:cantSplit/>
        </w:trPr>
        <w:tc>
          <w:tcPr>
            <w:tcW w:w="4081" w:type="dxa"/>
            <w:vAlign w:val="bottom"/>
          </w:tcPr>
          <w:p w14:paraId="236B4C3E" w14:textId="77777777" w:rsidR="00D0416C" w:rsidRDefault="002B09DF" w:rsidP="00CB2046">
            <w:pPr>
              <w:spacing w:beforeAutospacing="1" w:afterAutospacing="1"/>
              <w:jc w:val="both"/>
            </w:pPr>
            <w:r>
              <w:rPr>
                <w:color w:val="000000"/>
              </w:rPr>
              <w:t>Extremely Low-income</w:t>
            </w:r>
          </w:p>
        </w:tc>
        <w:tc>
          <w:tcPr>
            <w:tcW w:w="1859" w:type="dxa"/>
            <w:vAlign w:val="bottom"/>
          </w:tcPr>
          <w:p w14:paraId="66589CB2" w14:textId="77777777" w:rsidR="00D0416C" w:rsidRDefault="004C75FF" w:rsidP="00D07211">
            <w:pPr>
              <w:spacing w:beforeAutospacing="1" w:afterAutospacing="1"/>
              <w:jc w:val="center"/>
            </w:pPr>
            <w:r>
              <w:rPr>
                <w:color w:val="000000"/>
              </w:rPr>
              <w:t>345</w:t>
            </w:r>
          </w:p>
        </w:tc>
        <w:tc>
          <w:tcPr>
            <w:tcW w:w="1950" w:type="dxa"/>
            <w:vAlign w:val="bottom"/>
          </w:tcPr>
          <w:p w14:paraId="70803F03" w14:textId="77777777" w:rsidR="00D0416C" w:rsidRDefault="004C75FF" w:rsidP="00D07211">
            <w:pPr>
              <w:spacing w:beforeAutospacing="1" w:afterAutospacing="1"/>
              <w:jc w:val="center"/>
            </w:pPr>
            <w:r>
              <w:rPr>
                <w:color w:val="000000"/>
              </w:rPr>
              <w:t>2</w:t>
            </w:r>
          </w:p>
        </w:tc>
      </w:tr>
      <w:tr w:rsidR="00D0416C" w14:paraId="7F46C02D" w14:textId="77777777" w:rsidTr="00D07211">
        <w:trPr>
          <w:cantSplit/>
        </w:trPr>
        <w:tc>
          <w:tcPr>
            <w:tcW w:w="4081" w:type="dxa"/>
            <w:vAlign w:val="bottom"/>
          </w:tcPr>
          <w:p w14:paraId="72F384F9" w14:textId="77777777" w:rsidR="00D0416C" w:rsidRDefault="002B09DF" w:rsidP="00CB2046">
            <w:pPr>
              <w:spacing w:beforeAutospacing="1" w:afterAutospacing="1"/>
              <w:jc w:val="both"/>
            </w:pPr>
            <w:r>
              <w:rPr>
                <w:color w:val="000000"/>
              </w:rPr>
              <w:t>Low-income</w:t>
            </w:r>
          </w:p>
        </w:tc>
        <w:tc>
          <w:tcPr>
            <w:tcW w:w="1859" w:type="dxa"/>
            <w:vAlign w:val="bottom"/>
          </w:tcPr>
          <w:p w14:paraId="034131DC" w14:textId="77777777" w:rsidR="00D0416C" w:rsidRDefault="004C75FF" w:rsidP="00D07211">
            <w:pPr>
              <w:spacing w:beforeAutospacing="1" w:afterAutospacing="1"/>
              <w:jc w:val="center"/>
            </w:pPr>
            <w:r>
              <w:rPr>
                <w:color w:val="000000"/>
              </w:rPr>
              <w:t>283</w:t>
            </w:r>
          </w:p>
        </w:tc>
        <w:tc>
          <w:tcPr>
            <w:tcW w:w="1950" w:type="dxa"/>
            <w:vAlign w:val="bottom"/>
          </w:tcPr>
          <w:p w14:paraId="7722709A" w14:textId="77777777" w:rsidR="00D0416C" w:rsidRDefault="004C75FF" w:rsidP="00D07211">
            <w:pPr>
              <w:spacing w:beforeAutospacing="1" w:afterAutospacing="1"/>
              <w:jc w:val="center"/>
            </w:pPr>
            <w:r>
              <w:rPr>
                <w:color w:val="000000"/>
              </w:rPr>
              <w:t>5</w:t>
            </w:r>
          </w:p>
        </w:tc>
      </w:tr>
      <w:tr w:rsidR="00D0416C" w14:paraId="30900D82" w14:textId="77777777" w:rsidTr="00D07211">
        <w:trPr>
          <w:cantSplit/>
        </w:trPr>
        <w:tc>
          <w:tcPr>
            <w:tcW w:w="4081" w:type="dxa"/>
            <w:vAlign w:val="bottom"/>
          </w:tcPr>
          <w:p w14:paraId="58477568" w14:textId="77777777" w:rsidR="00D0416C" w:rsidRDefault="002B09DF" w:rsidP="00CB2046">
            <w:pPr>
              <w:spacing w:beforeAutospacing="1" w:afterAutospacing="1"/>
              <w:jc w:val="both"/>
            </w:pPr>
            <w:r>
              <w:rPr>
                <w:color w:val="000000"/>
              </w:rPr>
              <w:t>Moderate-income</w:t>
            </w:r>
          </w:p>
        </w:tc>
        <w:tc>
          <w:tcPr>
            <w:tcW w:w="1859" w:type="dxa"/>
            <w:vAlign w:val="bottom"/>
          </w:tcPr>
          <w:p w14:paraId="487008BF" w14:textId="77777777" w:rsidR="00D0416C" w:rsidRDefault="002B09DF" w:rsidP="00D07211">
            <w:pPr>
              <w:spacing w:beforeAutospacing="1" w:afterAutospacing="1"/>
              <w:jc w:val="center"/>
            </w:pPr>
            <w:r>
              <w:rPr>
                <w:color w:val="000000"/>
              </w:rPr>
              <w:t>0</w:t>
            </w:r>
          </w:p>
        </w:tc>
        <w:tc>
          <w:tcPr>
            <w:tcW w:w="1950" w:type="dxa"/>
            <w:vAlign w:val="bottom"/>
          </w:tcPr>
          <w:p w14:paraId="0D0C6BCB" w14:textId="77777777" w:rsidR="00D0416C" w:rsidRDefault="002B09DF" w:rsidP="00D07211">
            <w:pPr>
              <w:spacing w:beforeAutospacing="1" w:afterAutospacing="1"/>
              <w:jc w:val="center"/>
            </w:pPr>
            <w:r>
              <w:rPr>
                <w:color w:val="000000"/>
              </w:rPr>
              <w:t>0</w:t>
            </w:r>
          </w:p>
        </w:tc>
      </w:tr>
      <w:tr w:rsidR="00D0416C" w14:paraId="38F76982" w14:textId="77777777" w:rsidTr="00D07211">
        <w:trPr>
          <w:cantSplit/>
        </w:trPr>
        <w:tc>
          <w:tcPr>
            <w:tcW w:w="4081" w:type="dxa"/>
            <w:vAlign w:val="bottom"/>
          </w:tcPr>
          <w:p w14:paraId="21630800" w14:textId="77777777" w:rsidR="00D0416C" w:rsidRDefault="002B09DF" w:rsidP="00CB2046">
            <w:pPr>
              <w:spacing w:beforeAutospacing="1" w:afterAutospacing="1"/>
              <w:jc w:val="both"/>
            </w:pPr>
            <w:r>
              <w:rPr>
                <w:b/>
                <w:color w:val="000000"/>
              </w:rPr>
              <w:t>Total</w:t>
            </w:r>
          </w:p>
        </w:tc>
        <w:tc>
          <w:tcPr>
            <w:tcW w:w="1859" w:type="dxa"/>
            <w:vAlign w:val="bottom"/>
          </w:tcPr>
          <w:p w14:paraId="6F369E52" w14:textId="77777777" w:rsidR="00D0416C" w:rsidRDefault="004C75FF" w:rsidP="00D07211">
            <w:pPr>
              <w:spacing w:beforeAutospacing="1" w:afterAutospacing="1"/>
              <w:jc w:val="center"/>
            </w:pPr>
            <w:r>
              <w:rPr>
                <w:b/>
                <w:color w:val="000000"/>
              </w:rPr>
              <w:t>628</w:t>
            </w:r>
          </w:p>
        </w:tc>
        <w:tc>
          <w:tcPr>
            <w:tcW w:w="1950" w:type="dxa"/>
            <w:vAlign w:val="bottom"/>
          </w:tcPr>
          <w:p w14:paraId="1D64A415" w14:textId="77777777" w:rsidR="00D0416C" w:rsidRDefault="004C75FF" w:rsidP="00D07211">
            <w:pPr>
              <w:spacing w:beforeAutospacing="1" w:afterAutospacing="1"/>
              <w:jc w:val="center"/>
            </w:pPr>
            <w:r>
              <w:rPr>
                <w:b/>
                <w:color w:val="000000"/>
              </w:rPr>
              <w:t>7</w:t>
            </w:r>
          </w:p>
        </w:tc>
      </w:tr>
    </w:tbl>
    <w:bookmarkEnd w:id="11"/>
    <w:p w14:paraId="06977CB1" w14:textId="77777777" w:rsidR="00D0416C" w:rsidRDefault="002B09DF" w:rsidP="00CB2046">
      <w:pPr>
        <w:pStyle w:val="Caption"/>
        <w:jc w:val="both"/>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365EF1">
        <w:rPr>
          <w:rFonts w:asciiTheme="minorHAnsi" w:hAnsiTheme="minorHAnsi"/>
          <w:noProof/>
        </w:rPr>
        <w:t>13</w:t>
      </w:r>
      <w:r>
        <w:rPr>
          <w:rFonts w:asciiTheme="minorHAnsi" w:hAnsiTheme="minorHAnsi"/>
        </w:rPr>
        <w:fldChar w:fldCharType="end"/>
      </w:r>
      <w:r>
        <w:rPr>
          <w:rFonts w:asciiTheme="minorHAnsi" w:hAnsiTheme="minorHAnsi"/>
        </w:rPr>
        <w:t xml:space="preserve"> – Number of Households Served</w:t>
      </w:r>
    </w:p>
    <w:p w14:paraId="7C974B51" w14:textId="77777777" w:rsidR="00D0416C" w:rsidRDefault="00D0416C" w:rsidP="00CB2046">
      <w:pPr>
        <w:widowControl w:val="0"/>
        <w:spacing w:line="204" w:lineRule="auto"/>
        <w:jc w:val="both"/>
        <w:rPr>
          <w:b/>
          <w:sz w:val="24"/>
          <w:szCs w:val="24"/>
        </w:rPr>
      </w:pPr>
    </w:p>
    <w:p w14:paraId="53316B65" w14:textId="77777777" w:rsidR="00D0416C" w:rsidRDefault="00D0416C" w:rsidP="00CB2046">
      <w:pPr>
        <w:jc w:val="both"/>
        <w:rPr>
          <w:rFonts w:cs="Arial"/>
        </w:rPr>
      </w:pPr>
    </w:p>
    <w:p w14:paraId="29F1DD08" w14:textId="77777777" w:rsidR="00D0416C" w:rsidRDefault="00D0416C" w:rsidP="00CB2046">
      <w:pPr>
        <w:pStyle w:val="Heading2"/>
        <w:pageBreakBefore/>
        <w:jc w:val="both"/>
        <w:rPr>
          <w:rFonts w:ascii="Calibri" w:hAnsi="Calibri"/>
          <w:i w:val="0"/>
        </w:rPr>
        <w:sectPr w:rsidR="00D0416C" w:rsidSect="00365EF1">
          <w:type w:val="continuous"/>
          <w:pgSz w:w="12240" w:h="15840" w:code="1"/>
          <w:pgMar w:top="1440" w:right="1440" w:bottom="1440" w:left="1440" w:header="720" w:footer="720" w:gutter="0"/>
          <w:cols w:space="720"/>
          <w:docGrid w:linePitch="360"/>
        </w:sectPr>
      </w:pPr>
    </w:p>
    <w:p w14:paraId="3EB93F7E" w14:textId="77777777" w:rsidR="00D0416C" w:rsidRPr="00D07211" w:rsidRDefault="002B09DF" w:rsidP="00D07211">
      <w:pPr>
        <w:pStyle w:val="Heading2"/>
        <w:pageBreakBefore/>
        <w:widowControl w:val="0"/>
        <w:shd w:val="clear" w:color="auto" w:fill="1F497D" w:themeFill="text2"/>
        <w:jc w:val="both"/>
        <w:rPr>
          <w:rFonts w:ascii="Calibri" w:hAnsi="Calibri"/>
          <w:i w:val="0"/>
          <w:color w:val="FFFFFF" w:themeColor="background1"/>
        </w:rPr>
      </w:pPr>
      <w:bookmarkStart w:id="12" w:name="_Toc86152494"/>
      <w:bookmarkEnd w:id="7"/>
      <w:r w:rsidRPr="00D07211">
        <w:rPr>
          <w:rFonts w:ascii="Calibri" w:hAnsi="Calibri"/>
          <w:i w:val="0"/>
          <w:color w:val="FFFFFF" w:themeColor="background1"/>
        </w:rPr>
        <w:lastRenderedPageBreak/>
        <w:t>CR-25 - Homeless and Other Special Needs 91.220(d, e); 91.320(d, e); 91.520(c)</w:t>
      </w:r>
      <w:bookmarkEnd w:id="12"/>
    </w:p>
    <w:p w14:paraId="63C59877" w14:textId="5CED493D" w:rsidR="00D0416C" w:rsidRPr="00D07211" w:rsidRDefault="002B09DF" w:rsidP="00CB2046">
      <w:pPr>
        <w:keepNext/>
        <w:widowControl w:val="0"/>
        <w:jc w:val="both"/>
        <w:rPr>
          <w:b/>
          <w:sz w:val="24"/>
          <w:szCs w:val="24"/>
        </w:rPr>
      </w:pPr>
      <w:r w:rsidRPr="00D07211">
        <w:rPr>
          <w:b/>
          <w:sz w:val="24"/>
          <w:szCs w:val="24"/>
        </w:rPr>
        <w:t xml:space="preserve">Evaluate the </w:t>
      </w:r>
      <w:r w:rsidR="00D07211" w:rsidRPr="00D07211">
        <w:rPr>
          <w:b/>
          <w:sz w:val="24"/>
          <w:szCs w:val="24"/>
        </w:rPr>
        <w:t>J</w:t>
      </w:r>
      <w:r w:rsidRPr="00D07211">
        <w:rPr>
          <w:b/>
          <w:sz w:val="24"/>
          <w:szCs w:val="24"/>
        </w:rPr>
        <w:t>urisdiction</w:t>
      </w:r>
      <w:r w:rsidR="00D07211" w:rsidRPr="00D07211">
        <w:rPr>
          <w:b/>
          <w:sz w:val="24"/>
          <w:szCs w:val="24"/>
        </w:rPr>
        <w:t>'</w:t>
      </w:r>
      <w:r w:rsidRPr="00D07211">
        <w:rPr>
          <w:b/>
          <w:sz w:val="24"/>
          <w:szCs w:val="24"/>
        </w:rPr>
        <w:t>s progress in meeting its specific objectives for reducing and ending homelessness through:</w:t>
      </w:r>
    </w:p>
    <w:p w14:paraId="1E0C8B47" w14:textId="0192DB86" w:rsidR="00D07211" w:rsidRPr="003321D1" w:rsidRDefault="00D07211" w:rsidP="00D07211">
      <w:pPr>
        <w:pStyle w:val="Default"/>
        <w:jc w:val="both"/>
      </w:pPr>
      <w:r w:rsidRPr="00D07211">
        <w:t>The City of Anniston works closely and frequently with the Homeless Coalition of Northeast Alabama (HCNEA) and many of the Continuum of Care's mem</w:t>
      </w:r>
      <w:r w:rsidRPr="003321D1">
        <w:t>bers to address service needs and enhance coordination among local service providers to address homelessness and the priority needs of homeless individuals and families, including homeless subpopulations. The Homeless Coalition of Northeast Alabama (HCNEA) and area service providers work collaboratively in the community to provide comprehensive mainstream services for residents of the City of Anniston and other areas. This partnership includes collaborative efforts of a variety of community groups, government agencies</w:t>
      </w:r>
      <w:r>
        <w:t>,</w:t>
      </w:r>
      <w:r w:rsidRPr="003321D1">
        <w:t xml:space="preserve"> and a coalition of several homeless service providers. </w:t>
      </w:r>
    </w:p>
    <w:p w14:paraId="6247E268" w14:textId="77777777" w:rsidR="00D07211" w:rsidRPr="003321D1" w:rsidRDefault="00D07211" w:rsidP="00D07211">
      <w:pPr>
        <w:pStyle w:val="Default"/>
        <w:jc w:val="both"/>
      </w:pPr>
    </w:p>
    <w:p w14:paraId="7AC591C9" w14:textId="0D1BE0FC" w:rsidR="00D07211" w:rsidRPr="00D07211" w:rsidRDefault="00D07211" w:rsidP="00D07211">
      <w:pPr>
        <w:keepNext/>
        <w:widowControl w:val="0"/>
        <w:spacing w:line="240" w:lineRule="auto"/>
        <w:jc w:val="both"/>
        <w:rPr>
          <w:sz w:val="24"/>
          <w:szCs w:val="24"/>
        </w:rPr>
      </w:pPr>
      <w:r w:rsidRPr="003321D1">
        <w:rPr>
          <w:sz w:val="24"/>
          <w:szCs w:val="24"/>
        </w:rPr>
        <w:t xml:space="preserve">These organizations provide many services to their clientele, including but not limited to counseling, case management, life skills training, financial literacy classes, and victim advocacy, all of which help residents to develop the skills and knowledge to </w:t>
      </w:r>
      <w:r>
        <w:rPr>
          <w:sz w:val="24"/>
          <w:szCs w:val="24"/>
        </w:rPr>
        <w:t>transition</w:t>
      </w:r>
      <w:r w:rsidRPr="003321D1">
        <w:rPr>
          <w:sz w:val="24"/>
          <w:szCs w:val="24"/>
        </w:rPr>
        <w:t xml:space="preserve"> into permanent supportive housing or independent living and to maintain steady employment. The ultimate goal </w:t>
      </w:r>
      <w:r w:rsidRPr="00D07211">
        <w:rPr>
          <w:sz w:val="24"/>
          <w:szCs w:val="24"/>
        </w:rPr>
        <w:t>of providing supportive services is self-sufficiency.</w:t>
      </w:r>
    </w:p>
    <w:p w14:paraId="0876BC57" w14:textId="7CB96B9C" w:rsidR="00D07211" w:rsidRPr="00D07211" w:rsidRDefault="00D07211" w:rsidP="00D07211">
      <w:pPr>
        <w:pStyle w:val="Default"/>
        <w:jc w:val="both"/>
      </w:pPr>
      <w:r w:rsidRPr="00D07211">
        <w:t>In January 2020, the City of Anniston conducted a Point-In-Time Survey count of the City's homeless population. The count identified 120 homeless persons in total, 27 of whom were sheltered</w:t>
      </w:r>
      <w:r>
        <w:t>,</w:t>
      </w:r>
      <w:r w:rsidRPr="00D07211">
        <w:t xml:space="preserve"> and 92 were unsheltered. The following characteristics were found in the homeless population: </w:t>
      </w:r>
    </w:p>
    <w:p w14:paraId="4E2413DF" w14:textId="77777777" w:rsidR="00D07211" w:rsidRPr="00D07211" w:rsidRDefault="00D07211" w:rsidP="00D07211">
      <w:pPr>
        <w:pStyle w:val="Default"/>
        <w:numPr>
          <w:ilvl w:val="0"/>
          <w:numId w:val="20"/>
        </w:numPr>
        <w:spacing w:after="17"/>
        <w:jc w:val="both"/>
        <w:rPr>
          <w:rFonts w:asciiTheme="minorHAnsi" w:hAnsiTheme="minorHAnsi" w:cs="Wingdings"/>
        </w:rPr>
      </w:pPr>
      <w:r w:rsidRPr="00D07211">
        <w:rPr>
          <w:rFonts w:asciiTheme="minorHAnsi" w:hAnsiTheme="minorHAnsi" w:cs="Wingdings"/>
        </w:rPr>
        <w:t>Chronically Homeless: 39 persons; representing 33% of the homeless population</w:t>
      </w:r>
    </w:p>
    <w:p w14:paraId="591B29AD" w14:textId="77777777" w:rsidR="00D07211" w:rsidRPr="00D07211" w:rsidRDefault="00D07211" w:rsidP="00D07211">
      <w:pPr>
        <w:pStyle w:val="Default"/>
        <w:numPr>
          <w:ilvl w:val="0"/>
          <w:numId w:val="20"/>
        </w:numPr>
        <w:spacing w:after="17"/>
        <w:jc w:val="both"/>
      </w:pPr>
      <w:r w:rsidRPr="00D07211">
        <w:t xml:space="preserve">Homeless Unaccompanied Youth (Under 25) 19 individuals or about 15.8% percent of the homeless population. </w:t>
      </w:r>
    </w:p>
    <w:p w14:paraId="021ABF9F" w14:textId="70622905" w:rsidR="00D07211" w:rsidRPr="00D07211" w:rsidRDefault="00D07211" w:rsidP="00D07211">
      <w:pPr>
        <w:pStyle w:val="Default"/>
        <w:numPr>
          <w:ilvl w:val="0"/>
          <w:numId w:val="20"/>
        </w:numPr>
        <w:spacing w:after="17"/>
        <w:jc w:val="both"/>
      </w:pPr>
      <w:r w:rsidRPr="00D07211">
        <w:t xml:space="preserve">A total of 2 Homeless Unaccompanied Children (Under 18) represents 1.6% of the total homeless population. </w:t>
      </w:r>
    </w:p>
    <w:p w14:paraId="5735EE35" w14:textId="77777777" w:rsidR="00D07211" w:rsidRPr="00D07211" w:rsidRDefault="00D07211" w:rsidP="00D07211">
      <w:pPr>
        <w:pStyle w:val="Default"/>
        <w:numPr>
          <w:ilvl w:val="0"/>
          <w:numId w:val="20"/>
        </w:numPr>
        <w:spacing w:after="17"/>
        <w:jc w:val="both"/>
      </w:pPr>
      <w:r w:rsidRPr="00D07211">
        <w:t xml:space="preserve">Unaccompanied Young Adults (18-24) was 13 or 11% of the homeless population </w:t>
      </w:r>
    </w:p>
    <w:p w14:paraId="4B0050FB" w14:textId="77777777" w:rsidR="00D07211" w:rsidRPr="00D07211" w:rsidRDefault="00D07211" w:rsidP="00D07211">
      <w:pPr>
        <w:pStyle w:val="Default"/>
        <w:numPr>
          <w:ilvl w:val="0"/>
          <w:numId w:val="20"/>
        </w:numPr>
        <w:jc w:val="both"/>
      </w:pPr>
      <w:r w:rsidRPr="00D07211">
        <w:t xml:space="preserve">Homeless Veterans was 0, representing 0% of the homeless population. </w:t>
      </w:r>
    </w:p>
    <w:p w14:paraId="43D6AF36" w14:textId="77777777" w:rsidR="00D07211" w:rsidRPr="00D07211" w:rsidRDefault="00D07211" w:rsidP="00CB2046">
      <w:pPr>
        <w:keepNext/>
        <w:widowControl w:val="0"/>
        <w:jc w:val="both"/>
        <w:rPr>
          <w:b/>
          <w:sz w:val="24"/>
          <w:szCs w:val="24"/>
        </w:rPr>
      </w:pPr>
    </w:p>
    <w:p w14:paraId="2E770950" w14:textId="774A0840" w:rsidR="00D0416C" w:rsidRPr="00D07211" w:rsidRDefault="002B09DF" w:rsidP="00CB2046">
      <w:pPr>
        <w:widowControl w:val="0"/>
        <w:jc w:val="both"/>
        <w:rPr>
          <w:b/>
          <w:sz w:val="24"/>
          <w:szCs w:val="24"/>
        </w:rPr>
      </w:pPr>
      <w:r w:rsidRPr="00D07211">
        <w:rPr>
          <w:b/>
          <w:sz w:val="24"/>
          <w:szCs w:val="24"/>
        </w:rPr>
        <w:t>Reaching out to homeless persons (especially unsheltered persons) and assessing their individual needs</w:t>
      </w:r>
    </w:p>
    <w:p w14:paraId="0DAFB0DE" w14:textId="047AFC78" w:rsidR="00D07211" w:rsidRPr="003321D1" w:rsidRDefault="00D07211" w:rsidP="00D07211">
      <w:pPr>
        <w:widowControl w:val="0"/>
        <w:spacing w:line="240" w:lineRule="auto"/>
        <w:jc w:val="both"/>
        <w:rPr>
          <w:b/>
          <w:sz w:val="24"/>
          <w:szCs w:val="24"/>
        </w:rPr>
      </w:pPr>
      <w:r w:rsidRPr="00D07211">
        <w:rPr>
          <w:sz w:val="24"/>
          <w:szCs w:val="24"/>
        </w:rPr>
        <w:t xml:space="preserve">Developing housing for homeless individuals is one of the most challenging aspects of affordable housing. Chronically homeless individuals need physical and mental health services </w:t>
      </w:r>
      <w:r>
        <w:rPr>
          <w:sz w:val="24"/>
          <w:szCs w:val="24"/>
        </w:rPr>
        <w:t>and housing,</w:t>
      </w:r>
      <w:r w:rsidRPr="00D07211">
        <w:rPr>
          <w:sz w:val="24"/>
          <w:szCs w:val="24"/>
        </w:rPr>
        <w:t xml:space="preserve"> which makes it extreme</w:t>
      </w:r>
      <w:r w:rsidRPr="003321D1">
        <w:rPr>
          <w:sz w:val="24"/>
          <w:szCs w:val="24"/>
        </w:rPr>
        <w:t xml:space="preserve">ly difficult for local providers to house homeless persons with the assurance that they will receive needed services in a timely and sufficient manner. In 2019, the City of Anniston utilized CDBG funding to </w:t>
      </w:r>
      <w:r>
        <w:rPr>
          <w:sz w:val="24"/>
          <w:szCs w:val="24"/>
        </w:rPr>
        <w:t>assist</w:t>
      </w:r>
      <w:r w:rsidRPr="003321D1">
        <w:rPr>
          <w:sz w:val="24"/>
          <w:szCs w:val="24"/>
        </w:rPr>
        <w:t xml:space="preserve"> nonprofits </w:t>
      </w:r>
      <w:r>
        <w:rPr>
          <w:sz w:val="24"/>
          <w:szCs w:val="24"/>
        </w:rPr>
        <w:t xml:space="preserve">in </w:t>
      </w:r>
      <w:r w:rsidRPr="003321D1">
        <w:rPr>
          <w:sz w:val="24"/>
          <w:szCs w:val="24"/>
        </w:rPr>
        <w:t>providing emergency rental assistance and transitional housing to homeless or at-risk homelessness households.</w:t>
      </w:r>
    </w:p>
    <w:p w14:paraId="6E2B7E1A" w14:textId="77777777" w:rsidR="00D07211" w:rsidRDefault="00D07211" w:rsidP="00CB2046">
      <w:pPr>
        <w:widowControl w:val="0"/>
        <w:jc w:val="both"/>
        <w:rPr>
          <w:b/>
          <w:sz w:val="24"/>
          <w:szCs w:val="24"/>
        </w:rPr>
      </w:pPr>
    </w:p>
    <w:p w14:paraId="27AD141C" w14:textId="14765212" w:rsidR="00D0416C" w:rsidRPr="00D07211" w:rsidRDefault="002B09DF" w:rsidP="00CB2046">
      <w:pPr>
        <w:widowControl w:val="0"/>
        <w:jc w:val="both"/>
        <w:rPr>
          <w:b/>
          <w:sz w:val="24"/>
          <w:szCs w:val="24"/>
        </w:rPr>
      </w:pPr>
      <w:r w:rsidRPr="00D07211">
        <w:rPr>
          <w:b/>
          <w:sz w:val="24"/>
          <w:szCs w:val="24"/>
        </w:rPr>
        <w:lastRenderedPageBreak/>
        <w:t>Addressing the emergency shelter and transitional housing needs of homeless persons</w:t>
      </w:r>
    </w:p>
    <w:p w14:paraId="55E01118" w14:textId="542B18D8" w:rsidR="00D07211" w:rsidRPr="00D07211" w:rsidRDefault="00D07211" w:rsidP="00D07211">
      <w:pPr>
        <w:widowControl w:val="0"/>
        <w:spacing w:beforeAutospacing="1" w:afterAutospacing="1" w:line="240" w:lineRule="auto"/>
        <w:jc w:val="both"/>
        <w:rPr>
          <w:rFonts w:asciiTheme="minorHAnsi" w:hAnsiTheme="minorHAnsi" w:cstheme="minorHAnsi"/>
          <w:sz w:val="24"/>
          <w:szCs w:val="24"/>
        </w:rPr>
      </w:pPr>
      <w:r w:rsidRPr="00D07211">
        <w:rPr>
          <w:rFonts w:asciiTheme="minorHAnsi" w:hAnsiTheme="minorHAnsi" w:cstheme="minorHAnsi"/>
          <w:sz w:val="24"/>
          <w:szCs w:val="24"/>
        </w:rPr>
        <w:t xml:space="preserve">The City provides ESG funding for essential services and operations of emergency shelters, including domestic violence shelters and transitional housing facilities. The City also addresses this need by providing vouchers for emergency stays at local hotels or motels. The County supports increasing housing options and self‐sufficiency for the homeless and at risk of homelessness by providing emergency housing and supportive services for homeless families and individuals, including those recently released from institutions. </w:t>
      </w:r>
    </w:p>
    <w:p w14:paraId="2512CDAB" w14:textId="58E8F986" w:rsidR="00D07211" w:rsidRPr="00D07211" w:rsidRDefault="002B09DF" w:rsidP="00CB2046">
      <w:pPr>
        <w:widowControl w:val="0"/>
        <w:jc w:val="both"/>
        <w:rPr>
          <w:b/>
          <w:sz w:val="24"/>
          <w:szCs w:val="24"/>
        </w:rPr>
      </w:pPr>
      <w:r w:rsidRPr="00D07211">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w:t>
      </w:r>
      <w:r w:rsidR="00D07211">
        <w:rPr>
          <w:b/>
          <w:sz w:val="24"/>
          <w:szCs w:val="24"/>
        </w:rPr>
        <w:t>,</w:t>
      </w:r>
      <w:r w:rsidRPr="00D07211">
        <w:rPr>
          <w:b/>
          <w:sz w:val="24"/>
          <w:szCs w:val="24"/>
        </w:rPr>
        <w:t xml:space="preserve"> and other youth facilities, and corrections programs and institutions);  and,  receiving assistance from public or private agencies that address housing, health, social services, employment, education, or youth needs</w:t>
      </w:r>
    </w:p>
    <w:p w14:paraId="5D68EED6" w14:textId="1F60A00E" w:rsidR="00D07211" w:rsidRPr="00D07211" w:rsidRDefault="00D07211" w:rsidP="00D07211">
      <w:pPr>
        <w:pStyle w:val="Default"/>
        <w:jc w:val="both"/>
      </w:pPr>
      <w:r w:rsidRPr="00D07211">
        <w:t>Public systems or institutions (i.e.</w:t>
      </w:r>
      <w:r>
        <w:t>,</w:t>
      </w:r>
      <w:r w:rsidRPr="00D07211">
        <w:t xml:space="preserve"> jails, prisons, hospitals, child welfare, mental health facilities, etc.) often release individuals directly into homelessness. The Homeless Coalition coordinates release between the foster care system, health care, mental health care, and correctional facilities. </w:t>
      </w:r>
      <w:r>
        <w:t xml:space="preserve">A </w:t>
      </w:r>
      <w:r w:rsidRPr="00D07211">
        <w:t xml:space="preserve">centralized intake is in place that seeks to mediate/prevent homelessness whenever possible, reduce the homeless episode for families through rapid rehousing and shelter/transitional housing focused on moving families from homelessness to permanent housing as soon as possible, and permanently house the most vulnerable families, as resources are available. </w:t>
      </w:r>
    </w:p>
    <w:p w14:paraId="1D9F8028" w14:textId="77777777" w:rsidR="00D07211" w:rsidRPr="00D07211" w:rsidRDefault="00D07211" w:rsidP="00D07211">
      <w:pPr>
        <w:pStyle w:val="Default"/>
        <w:jc w:val="both"/>
      </w:pPr>
    </w:p>
    <w:p w14:paraId="0B042E0A" w14:textId="69F2B6ED" w:rsidR="00D07211" w:rsidRPr="00D07211" w:rsidRDefault="00D07211" w:rsidP="00D07211">
      <w:pPr>
        <w:widowControl w:val="0"/>
        <w:spacing w:line="240" w:lineRule="auto"/>
        <w:jc w:val="both"/>
        <w:rPr>
          <w:b/>
          <w:sz w:val="24"/>
          <w:szCs w:val="24"/>
        </w:rPr>
      </w:pPr>
      <w:r>
        <w:rPr>
          <w:sz w:val="24"/>
          <w:szCs w:val="24"/>
        </w:rPr>
        <w:t>To assist families in avoiding</w:t>
      </w:r>
      <w:r w:rsidRPr="00D07211">
        <w:rPr>
          <w:sz w:val="24"/>
          <w:szCs w:val="24"/>
        </w:rPr>
        <w:t xml:space="preserve"> homelessness, the City of Anniston provided CDBG public services funds to Interfaith Ministries for rent, eviction assistance, temporary housing, utility disconnection assistance, utility reconnections, and utility deposits. </w:t>
      </w:r>
      <w:r>
        <w:rPr>
          <w:sz w:val="24"/>
          <w:szCs w:val="24"/>
        </w:rPr>
        <w:t>With assistance from local housing and service providers, the City</w:t>
      </w:r>
      <w:r w:rsidRPr="00D07211">
        <w:rPr>
          <w:sz w:val="24"/>
          <w:szCs w:val="24"/>
        </w:rPr>
        <w:t xml:space="preserve"> has been committed to providing emergency and transitional housing for homeless persons.</w:t>
      </w:r>
    </w:p>
    <w:p w14:paraId="5216FB9D" w14:textId="7D343778" w:rsidR="00D0416C" w:rsidRPr="00D07211" w:rsidRDefault="002B09DF" w:rsidP="00CB2046">
      <w:pPr>
        <w:widowControl w:val="0"/>
        <w:jc w:val="both"/>
        <w:rPr>
          <w:b/>
          <w:sz w:val="24"/>
          <w:szCs w:val="24"/>
        </w:rPr>
      </w:pPr>
      <w:r w:rsidRPr="00D07211">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that individuals and families experience homelessness, facilitating access for homeless individuals and families to affordable housing units, and preventing individuals and families who were recently homeless from becoming homeless again</w:t>
      </w:r>
    </w:p>
    <w:p w14:paraId="3FA181FF" w14:textId="72AD5D67" w:rsidR="00D07211" w:rsidRPr="003321D1" w:rsidRDefault="00D07211" w:rsidP="00D07211">
      <w:pPr>
        <w:widowControl w:val="0"/>
        <w:spacing w:line="240" w:lineRule="auto"/>
        <w:jc w:val="both"/>
        <w:rPr>
          <w:b/>
          <w:sz w:val="24"/>
          <w:szCs w:val="24"/>
        </w:rPr>
      </w:pPr>
      <w:r w:rsidRPr="00D07211">
        <w:rPr>
          <w:sz w:val="24"/>
          <w:szCs w:val="24"/>
        </w:rPr>
        <w:t>The City co</w:t>
      </w:r>
      <w:r>
        <w:rPr>
          <w:sz w:val="24"/>
          <w:szCs w:val="24"/>
        </w:rPr>
        <w:t>ordinates</w:t>
      </w:r>
      <w:r w:rsidRPr="00D07211">
        <w:rPr>
          <w:sz w:val="24"/>
          <w:szCs w:val="24"/>
        </w:rPr>
        <w:t xml:space="preserve"> its homeless activitie</w:t>
      </w:r>
      <w:r w:rsidRPr="003321D1">
        <w:rPr>
          <w:sz w:val="24"/>
          <w:szCs w:val="24"/>
        </w:rPr>
        <w:t>s to prevent individuals and families from becoming homeless and help individuals/families regain stability in current housing or permanent housing through local nonprofit organizations.</w:t>
      </w:r>
    </w:p>
    <w:p w14:paraId="11EA88EA" w14:textId="77777777" w:rsidR="00D0416C" w:rsidRPr="00D07211" w:rsidRDefault="002B09DF" w:rsidP="00D07211">
      <w:pPr>
        <w:pStyle w:val="Heading2"/>
        <w:pageBreakBefore/>
        <w:widowControl w:val="0"/>
        <w:shd w:val="clear" w:color="auto" w:fill="1F497D" w:themeFill="text2"/>
        <w:jc w:val="both"/>
        <w:rPr>
          <w:rFonts w:ascii="Calibri" w:hAnsi="Calibri"/>
          <w:i w:val="0"/>
          <w:color w:val="FFFFFF" w:themeColor="background1"/>
        </w:rPr>
      </w:pPr>
      <w:bookmarkStart w:id="13" w:name="_Toc86152495"/>
      <w:r w:rsidRPr="00D07211">
        <w:rPr>
          <w:rFonts w:ascii="Calibri" w:hAnsi="Calibri"/>
          <w:i w:val="0"/>
          <w:color w:val="FFFFFF" w:themeColor="background1"/>
        </w:rPr>
        <w:lastRenderedPageBreak/>
        <w:t>CR-30 - Public Housing 91.220(h); 91.320(j)</w:t>
      </w:r>
      <w:bookmarkEnd w:id="13"/>
    </w:p>
    <w:p w14:paraId="6D933F96" w14:textId="6ABEBCBF" w:rsidR="00D0416C" w:rsidRPr="00D07211" w:rsidRDefault="002B09DF" w:rsidP="00CB2046">
      <w:pPr>
        <w:keepNext/>
        <w:widowControl w:val="0"/>
        <w:jc w:val="both"/>
        <w:rPr>
          <w:b/>
          <w:sz w:val="24"/>
          <w:szCs w:val="24"/>
        </w:rPr>
      </w:pPr>
      <w:r w:rsidRPr="00D07211">
        <w:rPr>
          <w:b/>
          <w:sz w:val="24"/>
          <w:szCs w:val="24"/>
        </w:rPr>
        <w:t>Actions taken to address the needs of public housing</w:t>
      </w:r>
    </w:p>
    <w:p w14:paraId="06312DAB" w14:textId="6D8CF8A1" w:rsidR="00D07211" w:rsidRPr="003321D1" w:rsidRDefault="00D07211" w:rsidP="00D07211">
      <w:pPr>
        <w:keepNext/>
        <w:widowControl w:val="0"/>
        <w:tabs>
          <w:tab w:val="left" w:pos="1530"/>
        </w:tabs>
        <w:spacing w:line="240" w:lineRule="auto"/>
        <w:jc w:val="both"/>
        <w:rPr>
          <w:sz w:val="24"/>
          <w:szCs w:val="24"/>
        </w:rPr>
      </w:pPr>
      <w:r w:rsidRPr="00D07211">
        <w:rPr>
          <w:sz w:val="24"/>
          <w:szCs w:val="24"/>
        </w:rPr>
        <w:t>The City of Anniston and members of its consortia have four local housing authorities offering</w:t>
      </w:r>
      <w:r w:rsidRPr="003321D1">
        <w:rPr>
          <w:sz w:val="24"/>
          <w:szCs w:val="24"/>
        </w:rPr>
        <w:t xml:space="preserve"> services to the community</w:t>
      </w:r>
      <w:r>
        <w:rPr>
          <w:sz w:val="24"/>
          <w:szCs w:val="24"/>
        </w:rPr>
        <w:t>,</w:t>
      </w:r>
      <w:r w:rsidRPr="003321D1">
        <w:rPr>
          <w:sz w:val="24"/>
          <w:szCs w:val="24"/>
        </w:rPr>
        <w:t xml:space="preserve"> which allows services to be tailored to the needs of residents. The City does not own or operate any housing units. </w:t>
      </w:r>
    </w:p>
    <w:p w14:paraId="44FB61BE" w14:textId="5768EFB0" w:rsidR="00D0416C" w:rsidRDefault="002B09DF" w:rsidP="00CB2046">
      <w:pPr>
        <w:widowControl w:val="0"/>
        <w:jc w:val="both"/>
        <w:rPr>
          <w:b/>
          <w:sz w:val="24"/>
          <w:szCs w:val="24"/>
        </w:rPr>
      </w:pPr>
      <w:r>
        <w:rPr>
          <w:b/>
          <w:sz w:val="24"/>
          <w:szCs w:val="24"/>
        </w:rPr>
        <w:t>Actions taken to encourage public housing residents to become more involved in management and participate in homeownership</w:t>
      </w:r>
    </w:p>
    <w:p w14:paraId="381E244A" w14:textId="77777777" w:rsidR="005F6CD1" w:rsidRPr="003321D1" w:rsidRDefault="005F6CD1" w:rsidP="005F6CD1">
      <w:pPr>
        <w:widowControl w:val="0"/>
        <w:spacing w:line="240" w:lineRule="auto"/>
        <w:jc w:val="both"/>
        <w:rPr>
          <w:sz w:val="24"/>
          <w:szCs w:val="24"/>
        </w:rPr>
      </w:pPr>
      <w:r w:rsidRPr="003321D1">
        <w:rPr>
          <w:sz w:val="24"/>
          <w:szCs w:val="24"/>
        </w:rPr>
        <w:t>Public housing residents are encouraged to provide input to their respective PHAs and are also invited to participate in the public engagement processes carried out by the City/Consortium. The City encourages Public Housing residents to learn about their Fair Housing rights and provides HUD Fair Housing materials to interested individuals.</w:t>
      </w:r>
    </w:p>
    <w:p w14:paraId="776304B8" w14:textId="70778233" w:rsidR="005F6CD1" w:rsidRPr="003321D1" w:rsidRDefault="005F6CD1" w:rsidP="005F6CD1">
      <w:pPr>
        <w:widowControl w:val="0"/>
        <w:spacing w:line="240" w:lineRule="auto"/>
        <w:jc w:val="both"/>
        <w:rPr>
          <w:b/>
          <w:sz w:val="24"/>
          <w:szCs w:val="24"/>
        </w:rPr>
      </w:pPr>
      <w:r w:rsidRPr="003321D1">
        <w:rPr>
          <w:sz w:val="24"/>
          <w:szCs w:val="24"/>
        </w:rPr>
        <w:t>Additionally, all four of Anniston</w:t>
      </w:r>
      <w:r w:rsidR="00D07211">
        <w:rPr>
          <w:sz w:val="24"/>
          <w:szCs w:val="24"/>
        </w:rPr>
        <w:t>'</w:t>
      </w:r>
      <w:r w:rsidRPr="003321D1">
        <w:rPr>
          <w:sz w:val="24"/>
          <w:szCs w:val="24"/>
        </w:rPr>
        <w:t>s public housing authorities solicit resident input during the creation of their Annual Agency Plans and other long-range planning documents. They also provide meeting space and technical assistance to their Resident Advisory Boards as issues are identified.</w:t>
      </w:r>
    </w:p>
    <w:p w14:paraId="7AE1806D" w14:textId="173E6C84" w:rsidR="00D0416C" w:rsidRDefault="002B09DF" w:rsidP="00CB2046">
      <w:pPr>
        <w:widowControl w:val="0"/>
        <w:jc w:val="both"/>
        <w:rPr>
          <w:b/>
          <w:sz w:val="24"/>
          <w:szCs w:val="24"/>
        </w:rPr>
      </w:pPr>
      <w:r>
        <w:rPr>
          <w:b/>
          <w:sz w:val="24"/>
          <w:szCs w:val="24"/>
        </w:rPr>
        <w:t>Actions taken to provide assistance to troubled PHAs</w:t>
      </w:r>
    </w:p>
    <w:p w14:paraId="35B37D0D" w14:textId="77777777" w:rsidR="005F6CD1" w:rsidRPr="003321D1" w:rsidRDefault="005F6CD1" w:rsidP="005F6CD1">
      <w:pPr>
        <w:widowControl w:val="0"/>
        <w:spacing w:line="240" w:lineRule="auto"/>
        <w:rPr>
          <w:b/>
          <w:sz w:val="24"/>
          <w:szCs w:val="24"/>
        </w:rPr>
      </w:pPr>
      <w:r w:rsidRPr="003321D1">
        <w:rPr>
          <w:sz w:val="24"/>
          <w:szCs w:val="24"/>
        </w:rPr>
        <w:t>There are no troubled PHAs in the City of Anniston or the other member cities of the Consortium.</w:t>
      </w:r>
    </w:p>
    <w:p w14:paraId="50D5D0AE" w14:textId="77777777" w:rsidR="005F6CD1" w:rsidRDefault="005F6CD1" w:rsidP="00CB2046">
      <w:pPr>
        <w:widowControl w:val="0"/>
        <w:jc w:val="both"/>
        <w:rPr>
          <w:b/>
          <w:sz w:val="24"/>
          <w:szCs w:val="24"/>
        </w:rPr>
      </w:pPr>
    </w:p>
    <w:p w14:paraId="3808BD99" w14:textId="77777777" w:rsidR="00D0416C" w:rsidRPr="00D07211" w:rsidRDefault="002B09DF" w:rsidP="00D07211">
      <w:pPr>
        <w:pStyle w:val="Heading2"/>
        <w:pageBreakBefore/>
        <w:widowControl w:val="0"/>
        <w:shd w:val="clear" w:color="auto" w:fill="1F497D" w:themeFill="text2"/>
        <w:jc w:val="both"/>
        <w:rPr>
          <w:rFonts w:ascii="Calibri" w:hAnsi="Calibri"/>
          <w:i w:val="0"/>
          <w:color w:val="FFFFFF" w:themeColor="background1"/>
        </w:rPr>
      </w:pPr>
      <w:bookmarkStart w:id="14" w:name="_Toc86152496"/>
      <w:r w:rsidRPr="00D07211">
        <w:rPr>
          <w:rFonts w:ascii="Calibri" w:hAnsi="Calibri"/>
          <w:i w:val="0"/>
          <w:color w:val="FFFFFF" w:themeColor="background1"/>
        </w:rPr>
        <w:lastRenderedPageBreak/>
        <w:t>CR-35 - Other Actions 91.220(j)-(k); 91.320(i)-(j)</w:t>
      </w:r>
      <w:bookmarkEnd w:id="14"/>
    </w:p>
    <w:p w14:paraId="425E74EB" w14:textId="2EAA3E7E" w:rsidR="00D0416C" w:rsidRPr="00D07211" w:rsidRDefault="002B09DF" w:rsidP="00CB2046">
      <w:pPr>
        <w:widowControl w:val="0"/>
        <w:jc w:val="both"/>
        <w:rPr>
          <w:b/>
          <w:sz w:val="24"/>
          <w:szCs w:val="24"/>
        </w:rPr>
      </w:pPr>
      <w:r w:rsidRPr="00D07211">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14:paraId="40F214CD" w14:textId="0CF74585" w:rsidR="00D07211" w:rsidRPr="00D07211" w:rsidRDefault="00D07211" w:rsidP="00D07211">
      <w:pPr>
        <w:widowControl w:val="0"/>
        <w:spacing w:line="240" w:lineRule="auto"/>
        <w:jc w:val="both"/>
        <w:rPr>
          <w:sz w:val="24"/>
          <w:szCs w:val="24"/>
        </w:rPr>
      </w:pPr>
      <w:r w:rsidRPr="00D07211">
        <w:rPr>
          <w:sz w:val="24"/>
          <w:szCs w:val="24"/>
        </w:rPr>
        <w:t>The City of Anniston recently completed its first Assessment of Fair Housing in December 2017.  This assessment is the successor to the former Analysis of Impediments to Fair Housing Choice</w:t>
      </w:r>
      <w:r>
        <w:rPr>
          <w:sz w:val="24"/>
          <w:szCs w:val="24"/>
        </w:rPr>
        <w:t>,</w:t>
      </w:r>
      <w:r w:rsidRPr="00D07211">
        <w:rPr>
          <w:sz w:val="24"/>
          <w:szCs w:val="24"/>
        </w:rPr>
        <w:t xml:space="preserve"> which identifies barriers to affordable housing. The City implemented community strategies to increase opportunity measures in R/ECAPs by allocating CDBG funding for home repair and rehabilitation activities in R/ECAP tracts. The City also allocated CDBG and HOME funds for property acquisition and renovation </w:t>
      </w:r>
      <w:r>
        <w:rPr>
          <w:sz w:val="24"/>
          <w:szCs w:val="24"/>
        </w:rPr>
        <w:t>following</w:t>
      </w:r>
      <w:r w:rsidRPr="00D07211">
        <w:rPr>
          <w:sz w:val="24"/>
          <w:szCs w:val="24"/>
        </w:rPr>
        <w:t xml:space="preserve"> West Anniston Master Plan.  Additionally, the </w:t>
      </w:r>
      <w:r>
        <w:rPr>
          <w:sz w:val="24"/>
          <w:szCs w:val="24"/>
        </w:rPr>
        <w:t>C</w:t>
      </w:r>
      <w:r w:rsidRPr="00D07211">
        <w:rPr>
          <w:sz w:val="24"/>
          <w:szCs w:val="24"/>
        </w:rPr>
        <w:t xml:space="preserve">ity allocated funding for the demolition of unsafe and blighted structures in R/ECAPs. </w:t>
      </w:r>
    </w:p>
    <w:p w14:paraId="3CB82926" w14:textId="156B6325" w:rsidR="00D0416C" w:rsidRPr="00D07211" w:rsidRDefault="002B09DF" w:rsidP="00CB2046">
      <w:pPr>
        <w:widowControl w:val="0"/>
        <w:jc w:val="both"/>
        <w:rPr>
          <w:b/>
          <w:sz w:val="24"/>
          <w:szCs w:val="24"/>
        </w:rPr>
      </w:pPr>
      <w:r w:rsidRPr="00D07211">
        <w:rPr>
          <w:b/>
          <w:sz w:val="24"/>
          <w:szCs w:val="24"/>
        </w:rPr>
        <w:t>Actions taken to address obstacles to meeting underserved needs.  91.220(k); 91.320(j)</w:t>
      </w:r>
    </w:p>
    <w:p w14:paraId="1E915158" w14:textId="214E3CAD" w:rsidR="00EE75CD" w:rsidRDefault="00EE75CD" w:rsidP="00EE75CD">
      <w:pPr>
        <w:widowControl w:val="0"/>
        <w:spacing w:line="240" w:lineRule="auto"/>
        <w:jc w:val="both"/>
        <w:rPr>
          <w:sz w:val="24"/>
          <w:szCs w:val="24"/>
        </w:rPr>
      </w:pPr>
      <w:r w:rsidRPr="00D07211">
        <w:rPr>
          <w:sz w:val="24"/>
          <w:szCs w:val="24"/>
        </w:rPr>
        <w:t>The primary obstacle to meeting underserved needs is the limited resources available to address identified priorities. In addition, the gap in what households can afford to pay for housing and the price of housing is another obstacle to meeting the needs of the underserved. The City has</w:t>
      </w:r>
      <w:r w:rsidRPr="00F8318D">
        <w:rPr>
          <w:sz w:val="24"/>
          <w:szCs w:val="24"/>
        </w:rPr>
        <w:t xml:space="preserve"> some affordable housing stock, yet the income level for individual households such as single-parents, elderly disabled, or others of limited economic means is not sufficient to afford even the lowest market-rate units. </w:t>
      </w:r>
      <w:r w:rsidR="00D07211">
        <w:rPr>
          <w:sz w:val="24"/>
          <w:szCs w:val="24"/>
        </w:rPr>
        <w:t>T</w:t>
      </w:r>
      <w:r w:rsidRPr="00F8318D">
        <w:rPr>
          <w:sz w:val="24"/>
          <w:szCs w:val="24"/>
        </w:rPr>
        <w:t xml:space="preserve">o shorten the gap between the costs associated with managing a household, </w:t>
      </w:r>
      <w:r w:rsidR="00D07211">
        <w:rPr>
          <w:sz w:val="24"/>
          <w:szCs w:val="24"/>
        </w:rPr>
        <w:t>community partners used CDBG and HOME resource</w:t>
      </w:r>
      <w:r w:rsidRPr="00F8318D">
        <w:rPr>
          <w:sz w:val="24"/>
          <w:szCs w:val="24"/>
        </w:rPr>
        <w:t xml:space="preserve">s to address some of these needs. </w:t>
      </w:r>
      <w:r>
        <w:rPr>
          <w:sz w:val="24"/>
          <w:szCs w:val="24"/>
        </w:rPr>
        <w:t xml:space="preserve">In 2020, the City used HOME funds to construct new rental housing </w:t>
      </w:r>
      <w:r w:rsidR="00D07211">
        <w:rPr>
          <w:sz w:val="24"/>
          <w:szCs w:val="24"/>
        </w:rPr>
        <w:t xml:space="preserve">and rehabilitate existing housing. </w:t>
      </w:r>
    </w:p>
    <w:p w14:paraId="000F5F1D" w14:textId="72FD81B3" w:rsidR="00D0416C" w:rsidRPr="00EE75CD" w:rsidRDefault="002B09DF" w:rsidP="00CB2046">
      <w:pPr>
        <w:widowControl w:val="0"/>
        <w:jc w:val="both"/>
        <w:rPr>
          <w:b/>
          <w:sz w:val="24"/>
          <w:szCs w:val="24"/>
        </w:rPr>
      </w:pPr>
      <w:r w:rsidRPr="00EE75CD">
        <w:rPr>
          <w:b/>
          <w:sz w:val="24"/>
          <w:szCs w:val="24"/>
        </w:rPr>
        <w:t>Actions taken to reduce lead-based paint hazards. 91.220(k); 91.320(j)</w:t>
      </w:r>
    </w:p>
    <w:p w14:paraId="103DEF2B" w14:textId="0629FA1A" w:rsidR="00D574F2" w:rsidRPr="00EE75CD" w:rsidRDefault="00D574F2" w:rsidP="00D574F2">
      <w:pPr>
        <w:spacing w:line="240" w:lineRule="auto"/>
        <w:jc w:val="both"/>
        <w:rPr>
          <w:rFonts w:asciiTheme="minorHAnsi" w:hAnsiTheme="minorHAnsi" w:cstheme="minorHAnsi"/>
          <w:sz w:val="24"/>
          <w:szCs w:val="24"/>
        </w:rPr>
      </w:pPr>
      <w:r w:rsidRPr="00EE75CD">
        <w:rPr>
          <w:rFonts w:asciiTheme="minorHAnsi" w:hAnsiTheme="minorHAnsi" w:cstheme="minorHAnsi"/>
          <w:sz w:val="24"/>
          <w:szCs w:val="24"/>
        </w:rPr>
        <w:t>Th</w:t>
      </w:r>
      <w:r w:rsidR="00D07211">
        <w:rPr>
          <w:rFonts w:asciiTheme="minorHAnsi" w:hAnsiTheme="minorHAnsi" w:cstheme="minorHAnsi"/>
          <w:sz w:val="24"/>
          <w:szCs w:val="24"/>
        </w:rPr>
        <w:t>rough its CDBG Homeowner Housing Rehabilitation Program, the City of Anniston</w:t>
      </w:r>
      <w:r w:rsidRPr="00EE75CD">
        <w:rPr>
          <w:rFonts w:asciiTheme="minorHAnsi" w:hAnsiTheme="minorHAnsi" w:cstheme="minorHAnsi"/>
          <w:sz w:val="24"/>
          <w:szCs w:val="24"/>
        </w:rPr>
        <w:t xml:space="preserve"> requires an initial home inspection by a contracted HUD-certified inspector to test for lead and asbestos.  Homeowners are notified if their property tests positive for lead or requires mitigation before completing homeowner rehab activities. </w:t>
      </w:r>
    </w:p>
    <w:p w14:paraId="68C099E0" w14:textId="0D7DB05F" w:rsidR="00D0416C" w:rsidRPr="00EE75CD" w:rsidRDefault="002B09DF" w:rsidP="00CB2046">
      <w:pPr>
        <w:widowControl w:val="0"/>
        <w:jc w:val="both"/>
        <w:rPr>
          <w:b/>
          <w:sz w:val="24"/>
          <w:szCs w:val="24"/>
        </w:rPr>
      </w:pPr>
      <w:r w:rsidRPr="00EE75CD">
        <w:rPr>
          <w:b/>
          <w:sz w:val="24"/>
          <w:szCs w:val="24"/>
        </w:rPr>
        <w:t>Actions taken to reduce the number of poverty-level families. 91.220(k); 91.320(j)</w:t>
      </w:r>
    </w:p>
    <w:p w14:paraId="2722F26D" w14:textId="1AB77A4E" w:rsidR="00D574F2" w:rsidRPr="00EE75CD" w:rsidRDefault="00D574F2" w:rsidP="00D574F2">
      <w:pPr>
        <w:widowControl w:val="0"/>
        <w:spacing w:line="240" w:lineRule="auto"/>
        <w:jc w:val="both"/>
        <w:rPr>
          <w:sz w:val="24"/>
          <w:szCs w:val="24"/>
        </w:rPr>
      </w:pPr>
      <w:r w:rsidRPr="00EE75CD">
        <w:rPr>
          <w:sz w:val="24"/>
          <w:szCs w:val="24"/>
        </w:rPr>
        <w:t>The City of Anniston attempted to reduce the number of poverty-level families by providing financial support to agencies that increased employment opportunities, reduced living costs, and increased job training. With the provision of CDBG, CDBG-CV, and HOME funding, low-income families were assisted in becoming independent and self-sufficient.  The City-funded agencies that serve children and youth from low-income families provide a foundation for high educational achievement</w:t>
      </w:r>
      <w:r w:rsidR="00D07211">
        <w:rPr>
          <w:sz w:val="24"/>
          <w:szCs w:val="24"/>
        </w:rPr>
        <w:t>,</w:t>
      </w:r>
      <w:r w:rsidRPr="00EE75CD">
        <w:rPr>
          <w:sz w:val="24"/>
          <w:szCs w:val="24"/>
        </w:rPr>
        <w:t xml:space="preserve"> highly correlated with reduced poverty. This </w:t>
      </w:r>
      <w:r w:rsidR="00D07211">
        <w:rPr>
          <w:sz w:val="24"/>
          <w:szCs w:val="24"/>
        </w:rPr>
        <w:t>year, this City used funding</w:t>
      </w:r>
      <w:r w:rsidR="00EE75CD" w:rsidRPr="00EE75CD">
        <w:rPr>
          <w:sz w:val="24"/>
          <w:szCs w:val="24"/>
        </w:rPr>
        <w:t xml:space="preserve"> due to COVID to provide emergency food assistance and school supplies for low-income families. They also used the funding to provide healthcare. </w:t>
      </w:r>
    </w:p>
    <w:p w14:paraId="3FDC0503" w14:textId="02CE91C5" w:rsidR="00D0416C" w:rsidRPr="00EE75CD" w:rsidRDefault="002B09DF" w:rsidP="00CB2046">
      <w:pPr>
        <w:widowControl w:val="0"/>
        <w:jc w:val="both"/>
        <w:rPr>
          <w:b/>
          <w:sz w:val="24"/>
          <w:szCs w:val="24"/>
        </w:rPr>
      </w:pPr>
      <w:r w:rsidRPr="00EE75CD">
        <w:rPr>
          <w:b/>
          <w:sz w:val="24"/>
          <w:szCs w:val="24"/>
        </w:rPr>
        <w:t>Actions taken to develop institutional structure. 91.220(k); 91.320(j)</w:t>
      </w:r>
    </w:p>
    <w:p w14:paraId="21DBA863" w14:textId="7F20BB04" w:rsidR="00EE75CD" w:rsidRPr="00EE75CD" w:rsidRDefault="00EE75CD" w:rsidP="00EE75CD">
      <w:pPr>
        <w:widowControl w:val="0"/>
        <w:spacing w:line="240" w:lineRule="auto"/>
        <w:jc w:val="both"/>
        <w:rPr>
          <w:b/>
          <w:sz w:val="24"/>
          <w:szCs w:val="24"/>
        </w:rPr>
      </w:pPr>
      <w:r w:rsidRPr="00EE75CD">
        <w:rPr>
          <w:sz w:val="24"/>
          <w:szCs w:val="24"/>
        </w:rPr>
        <w:lastRenderedPageBreak/>
        <w:t>The City serves as the grantee and administrative agent for both the CDBG and HOME programs. The programs are housed within the Community Development Department</w:t>
      </w:r>
      <w:r w:rsidR="00D07211">
        <w:rPr>
          <w:sz w:val="24"/>
          <w:szCs w:val="24"/>
        </w:rPr>
        <w:t>,</w:t>
      </w:r>
      <w:r w:rsidRPr="00EE75CD">
        <w:rPr>
          <w:sz w:val="24"/>
          <w:szCs w:val="24"/>
        </w:rPr>
        <w:t xml:space="preserve"> and the day-to-day management is provided by the Community Development Coordinator</w:t>
      </w:r>
      <w:r w:rsidR="00D07211">
        <w:rPr>
          <w:sz w:val="24"/>
          <w:szCs w:val="24"/>
        </w:rPr>
        <w:t>,</w:t>
      </w:r>
      <w:r w:rsidRPr="00EE75CD">
        <w:rPr>
          <w:sz w:val="24"/>
          <w:szCs w:val="24"/>
        </w:rPr>
        <w:t xml:space="preserve"> who reports to the City Manager. City personnel provides support for the </w:t>
      </w:r>
      <w:r w:rsidR="00D07211">
        <w:rPr>
          <w:sz w:val="24"/>
          <w:szCs w:val="24"/>
        </w:rPr>
        <w:t>program's administration</w:t>
      </w:r>
      <w:r w:rsidRPr="00EE75CD">
        <w:rPr>
          <w:sz w:val="24"/>
          <w:szCs w:val="24"/>
        </w:rPr>
        <w:t xml:space="preserve"> from the Finance Department, Engineering Division, Public Works Department, Code Enforcement Division, and Planning Department. Close cooperation among these City departments is essential to efficient program management and effective services for City/ACCHC residents. The City also maintains contacts with experienced Community Development consultants who advise and train staff and assist with </w:t>
      </w:r>
      <w:r w:rsidR="00D07211">
        <w:rPr>
          <w:sz w:val="24"/>
          <w:szCs w:val="24"/>
        </w:rPr>
        <w:t>preparing</w:t>
      </w:r>
      <w:r w:rsidRPr="00EE75CD">
        <w:rPr>
          <w:sz w:val="24"/>
          <w:szCs w:val="24"/>
        </w:rPr>
        <w:t xml:space="preserve"> plans and reports.</w:t>
      </w:r>
    </w:p>
    <w:p w14:paraId="76B91502" w14:textId="5C497D41" w:rsidR="00D0416C" w:rsidRPr="00EE75CD" w:rsidRDefault="002B09DF" w:rsidP="00CB2046">
      <w:pPr>
        <w:widowControl w:val="0"/>
        <w:jc w:val="both"/>
        <w:rPr>
          <w:b/>
          <w:sz w:val="24"/>
          <w:szCs w:val="24"/>
        </w:rPr>
      </w:pPr>
      <w:r w:rsidRPr="00EE75CD">
        <w:rPr>
          <w:b/>
          <w:sz w:val="24"/>
          <w:szCs w:val="24"/>
        </w:rPr>
        <w:t>Actions taken to enhance coordination between public and private housing and social service agencies. 91.220(k); 91.320(j)</w:t>
      </w:r>
    </w:p>
    <w:p w14:paraId="72A6C73A" w14:textId="7ECE647A" w:rsidR="00EE75CD" w:rsidRPr="00EE75CD" w:rsidRDefault="00EE75CD" w:rsidP="00EE75CD">
      <w:pPr>
        <w:widowControl w:val="0"/>
        <w:spacing w:line="240" w:lineRule="auto"/>
        <w:jc w:val="both"/>
        <w:rPr>
          <w:sz w:val="24"/>
          <w:szCs w:val="24"/>
        </w:rPr>
      </w:pPr>
      <w:r w:rsidRPr="00EE75CD">
        <w:rPr>
          <w:sz w:val="24"/>
          <w:szCs w:val="24"/>
        </w:rPr>
        <w:t>The City uses multiple strategies to enhance coordination between agencies. This included the allocation of General Fund, Federal, and state dollars to support the provision of services within the covered jurisdictions</w:t>
      </w:r>
      <w:r w:rsidR="00D07211">
        <w:rPr>
          <w:sz w:val="24"/>
          <w:szCs w:val="24"/>
        </w:rPr>
        <w:t xml:space="preserve"> and</w:t>
      </w:r>
      <w:r w:rsidRPr="00EE75CD">
        <w:rPr>
          <w:sz w:val="24"/>
          <w:szCs w:val="24"/>
        </w:rPr>
        <w:t xml:space="preserve"> ongoing communication and consultation with housing and non-housing service providers, public housing authorities, other local jurisdictions, and public agencies. In the HOME program, the City </w:t>
      </w:r>
      <w:r w:rsidR="00D07211">
        <w:rPr>
          <w:sz w:val="24"/>
          <w:szCs w:val="24"/>
        </w:rPr>
        <w:t>maintains</w:t>
      </w:r>
      <w:r w:rsidRPr="00EE75CD">
        <w:rPr>
          <w:sz w:val="24"/>
          <w:szCs w:val="24"/>
        </w:rPr>
        <w:t xml:space="preserve"> a productive relationship with its CHDO, Northeast Alabama CDC, and the Housing Development Corporation in producing affordable housing units. </w:t>
      </w:r>
    </w:p>
    <w:p w14:paraId="0335F8AE" w14:textId="325ECBD0" w:rsidR="00EE75CD" w:rsidRPr="00EE75CD" w:rsidRDefault="00EE75CD" w:rsidP="00EE75CD">
      <w:pPr>
        <w:widowControl w:val="0"/>
        <w:spacing w:line="240" w:lineRule="auto"/>
        <w:jc w:val="both"/>
        <w:rPr>
          <w:sz w:val="24"/>
          <w:szCs w:val="24"/>
        </w:rPr>
      </w:pPr>
      <w:r w:rsidRPr="00EE75CD">
        <w:rPr>
          <w:sz w:val="24"/>
          <w:szCs w:val="24"/>
        </w:rPr>
        <w:t>Additionally, the City used general fund funding</w:t>
      </w:r>
      <w:r w:rsidR="00D07211">
        <w:rPr>
          <w:sz w:val="24"/>
          <w:szCs w:val="24"/>
        </w:rPr>
        <w:t>,</w:t>
      </w:r>
      <w:r w:rsidRPr="00EE75CD">
        <w:rPr>
          <w:sz w:val="24"/>
          <w:szCs w:val="24"/>
        </w:rPr>
        <w:t xml:space="preserve"> which is outsourced and managed by the Community Foundation of Northeast Alabama; resulting in additional leveraged support </w:t>
      </w:r>
    </w:p>
    <w:p w14:paraId="3567F486" w14:textId="7A43D317" w:rsidR="00D0416C" w:rsidRPr="00EE75CD" w:rsidRDefault="002B09DF" w:rsidP="00CB2046">
      <w:pPr>
        <w:widowControl w:val="0"/>
        <w:jc w:val="both"/>
        <w:rPr>
          <w:b/>
          <w:sz w:val="24"/>
          <w:szCs w:val="24"/>
        </w:rPr>
      </w:pPr>
      <w:r w:rsidRPr="00EE75CD">
        <w:rPr>
          <w:b/>
          <w:sz w:val="24"/>
          <w:szCs w:val="24"/>
        </w:rPr>
        <w:t>Identify actions taken to overcome the effects of any impediments identified in the jurisdictions analysis of impediments to fair housing choice.  91.520(a)</w:t>
      </w:r>
    </w:p>
    <w:p w14:paraId="5CAE1BB2" w14:textId="559CD112" w:rsidR="00EE75CD" w:rsidRPr="00F8318D" w:rsidRDefault="00EE75CD" w:rsidP="00EE75CD">
      <w:pPr>
        <w:widowControl w:val="0"/>
        <w:spacing w:line="240" w:lineRule="auto"/>
        <w:jc w:val="both"/>
        <w:rPr>
          <w:sz w:val="24"/>
          <w:szCs w:val="24"/>
        </w:rPr>
      </w:pPr>
      <w:r w:rsidRPr="00EE75CD">
        <w:rPr>
          <w:sz w:val="24"/>
          <w:szCs w:val="24"/>
        </w:rPr>
        <w:t>Barriers to affordable housing were identified in the City</w:t>
      </w:r>
      <w:r w:rsidR="00D07211">
        <w:rPr>
          <w:sz w:val="24"/>
          <w:szCs w:val="24"/>
        </w:rPr>
        <w:t>'</w:t>
      </w:r>
      <w:r w:rsidRPr="00EE75CD">
        <w:rPr>
          <w:sz w:val="24"/>
          <w:szCs w:val="24"/>
        </w:rPr>
        <w:t>s most recent Assessment of Fair Housing</w:t>
      </w:r>
      <w:r w:rsidR="00D07211">
        <w:rPr>
          <w:sz w:val="24"/>
          <w:szCs w:val="24"/>
        </w:rPr>
        <w:t>.</w:t>
      </w:r>
      <w:r w:rsidRPr="00EE75CD">
        <w:rPr>
          <w:sz w:val="24"/>
          <w:szCs w:val="24"/>
        </w:rPr>
        <w:t xml:space="preserve"> This assessment is the successor to the former Analysis of Impediments to Fair Housing Choice</w:t>
      </w:r>
      <w:r w:rsidR="00D07211">
        <w:rPr>
          <w:sz w:val="24"/>
          <w:szCs w:val="24"/>
        </w:rPr>
        <w:t>,</w:t>
      </w:r>
      <w:r w:rsidRPr="00EE75CD">
        <w:rPr>
          <w:sz w:val="24"/>
          <w:szCs w:val="24"/>
        </w:rPr>
        <w:t xml:space="preserve"> which identifies. The City implemented community strategies to increase opportunity measures in R/ECAPs by allocating CDBG funding for home repair and rehabilitation activities in R/ECAP tracts. The City also allocated CDBG and HOME funds for property acquisition and renovation </w:t>
      </w:r>
      <w:r w:rsidR="00D07211">
        <w:rPr>
          <w:sz w:val="24"/>
          <w:szCs w:val="24"/>
        </w:rPr>
        <w:t>following</w:t>
      </w:r>
      <w:r w:rsidRPr="00EE75CD">
        <w:rPr>
          <w:sz w:val="24"/>
          <w:szCs w:val="24"/>
        </w:rPr>
        <w:t xml:space="preserve"> </w:t>
      </w:r>
      <w:r w:rsidR="00D07211">
        <w:rPr>
          <w:sz w:val="24"/>
          <w:szCs w:val="24"/>
        </w:rPr>
        <w:t xml:space="preserve">the </w:t>
      </w:r>
      <w:r w:rsidRPr="00EE75CD">
        <w:rPr>
          <w:sz w:val="24"/>
          <w:szCs w:val="24"/>
        </w:rPr>
        <w:t xml:space="preserve">West Anniston Master Plan.  Additionally, the </w:t>
      </w:r>
      <w:r w:rsidR="00D07211">
        <w:rPr>
          <w:sz w:val="24"/>
          <w:szCs w:val="24"/>
        </w:rPr>
        <w:t>C</w:t>
      </w:r>
      <w:r w:rsidRPr="00EE75CD">
        <w:rPr>
          <w:sz w:val="24"/>
          <w:szCs w:val="24"/>
        </w:rPr>
        <w:t>ity allocated funding for the demolition of unsafe and blighted structures in R/ECAPs.</w:t>
      </w:r>
      <w:r w:rsidRPr="00F8318D">
        <w:rPr>
          <w:sz w:val="24"/>
          <w:szCs w:val="24"/>
        </w:rPr>
        <w:t xml:space="preserve"> </w:t>
      </w:r>
    </w:p>
    <w:p w14:paraId="17060302" w14:textId="77777777" w:rsidR="00EE75CD" w:rsidRDefault="00EE75CD" w:rsidP="00CB2046">
      <w:pPr>
        <w:widowControl w:val="0"/>
        <w:jc w:val="both"/>
        <w:rPr>
          <w:b/>
          <w:sz w:val="24"/>
          <w:szCs w:val="24"/>
        </w:rPr>
      </w:pPr>
    </w:p>
    <w:p w14:paraId="701C89D3" w14:textId="77777777" w:rsidR="00D0416C" w:rsidRPr="00D07211" w:rsidRDefault="002B09DF" w:rsidP="00D07211">
      <w:pPr>
        <w:pStyle w:val="Heading2"/>
        <w:pageBreakBefore/>
        <w:widowControl w:val="0"/>
        <w:shd w:val="clear" w:color="auto" w:fill="1F497D" w:themeFill="text2"/>
        <w:jc w:val="both"/>
        <w:rPr>
          <w:rFonts w:ascii="Calibri" w:hAnsi="Calibri"/>
          <w:i w:val="0"/>
          <w:color w:val="FFFFFF" w:themeColor="background1"/>
        </w:rPr>
      </w:pPr>
      <w:bookmarkStart w:id="15" w:name="_Toc86152497"/>
      <w:r w:rsidRPr="00D07211">
        <w:rPr>
          <w:rFonts w:ascii="Calibri" w:hAnsi="Calibri"/>
          <w:i w:val="0"/>
          <w:color w:val="FFFFFF" w:themeColor="background1"/>
        </w:rPr>
        <w:lastRenderedPageBreak/>
        <w:t>CR-40 - Monitoring 91.220 and 91.230</w:t>
      </w:r>
      <w:bookmarkEnd w:id="15"/>
    </w:p>
    <w:p w14:paraId="11E058FE" w14:textId="77777777" w:rsidR="00D0416C" w:rsidRDefault="002B09DF" w:rsidP="00CB2046">
      <w:pPr>
        <w:widowControl w:val="0"/>
        <w:jc w:val="both"/>
        <w:rPr>
          <w:b/>
          <w:sz w:val="24"/>
          <w:szCs w:val="24"/>
        </w:rPr>
      </w:pPr>
      <w:r>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14:paraId="31F4619A" w14:textId="3CFEB044" w:rsidR="005F6CD1" w:rsidRPr="00F8318D" w:rsidRDefault="005F6CD1" w:rsidP="005F6CD1">
      <w:pPr>
        <w:widowControl w:val="0"/>
        <w:spacing w:line="240" w:lineRule="auto"/>
        <w:jc w:val="both"/>
        <w:rPr>
          <w:sz w:val="24"/>
          <w:szCs w:val="24"/>
        </w:rPr>
      </w:pPr>
      <w:r w:rsidRPr="00F8318D">
        <w:rPr>
          <w:sz w:val="24"/>
          <w:szCs w:val="24"/>
        </w:rPr>
        <w:t>Each year, the City of Anniston's Community Development Department conducts an annual risk analysis to determine which grant activities are monitored for federal and local compliance. This risk analysis is conducted for every subrecipient expending funding during the program year. All risk analysis scores are averaged; projects that scored above the average are selected for onsite monitoring. Additionally, all new subrecipients and those not been monitored within the prior year are automatically selected, regardless of their risk analysis score. Once the risk analysis evaluation has been completed, monitoring visits are scheduled. Monitoring Compliance Reports and results letters are issued within 30 days of the onsite visit. Subrecipients are required to respond to any concerns or findings within 30 days of their receipt of the results letter. All concerns and findings must be considered closed by the City for the grantee to qualify for funding during the next application cycle.</w:t>
      </w:r>
    </w:p>
    <w:p w14:paraId="37119565" w14:textId="77777777" w:rsidR="00D0416C" w:rsidRDefault="002B09DF" w:rsidP="00CB2046">
      <w:pPr>
        <w:widowControl w:val="0"/>
        <w:jc w:val="both"/>
        <w:rPr>
          <w:b/>
          <w:sz w:val="24"/>
          <w:szCs w:val="24"/>
        </w:rPr>
      </w:pPr>
      <w:r>
        <w:rPr>
          <w:b/>
          <w:sz w:val="24"/>
          <w:szCs w:val="24"/>
        </w:rPr>
        <w:t>Citizen Participation Plan 91.105(d); 91.115(d)</w:t>
      </w:r>
    </w:p>
    <w:p w14:paraId="389D040E" w14:textId="25DB9064" w:rsidR="00D0416C" w:rsidRDefault="002B09DF" w:rsidP="00CB2046">
      <w:pPr>
        <w:widowControl w:val="0"/>
        <w:jc w:val="both"/>
        <w:rPr>
          <w:sz w:val="24"/>
          <w:szCs w:val="24"/>
        </w:rPr>
      </w:pPr>
      <w:r>
        <w:rPr>
          <w:b/>
          <w:sz w:val="24"/>
          <w:szCs w:val="24"/>
        </w:rPr>
        <w:t>Describe the efforts to provide citizens with reasonable notice and an opportunity to comment on performance reports</w:t>
      </w:r>
      <w:r>
        <w:rPr>
          <w:sz w:val="24"/>
          <w:szCs w:val="24"/>
        </w:rPr>
        <w:t>.</w:t>
      </w:r>
    </w:p>
    <w:p w14:paraId="5588F53F" w14:textId="37A79E7A" w:rsidR="005F6CD1" w:rsidRPr="00F8318D" w:rsidRDefault="005F6CD1" w:rsidP="005F6CD1">
      <w:pPr>
        <w:widowControl w:val="0"/>
        <w:spacing w:line="240" w:lineRule="auto"/>
        <w:jc w:val="both"/>
        <w:rPr>
          <w:sz w:val="24"/>
          <w:szCs w:val="24"/>
        </w:rPr>
      </w:pPr>
      <w:r w:rsidRPr="00F8318D">
        <w:rPr>
          <w:sz w:val="24"/>
          <w:szCs w:val="24"/>
        </w:rPr>
        <w:t>The City of Anniston</w:t>
      </w:r>
      <w:r w:rsidR="00D07211">
        <w:rPr>
          <w:sz w:val="24"/>
          <w:szCs w:val="24"/>
        </w:rPr>
        <w:t>'</w:t>
      </w:r>
      <w:r w:rsidRPr="00F8318D">
        <w:rPr>
          <w:sz w:val="24"/>
          <w:szCs w:val="24"/>
        </w:rPr>
        <w:t>s Citizen Participation Plan meets HUD</w:t>
      </w:r>
      <w:r w:rsidR="00D07211">
        <w:rPr>
          <w:sz w:val="24"/>
          <w:szCs w:val="24"/>
        </w:rPr>
        <w:t>'</w:t>
      </w:r>
      <w:r w:rsidRPr="00F8318D">
        <w:rPr>
          <w:sz w:val="24"/>
          <w:szCs w:val="24"/>
        </w:rPr>
        <w:t xml:space="preserve">s requirements referenced at 24 CFR 91.105(b) for citizen participation in all HUD grants programs. The City of Anniston has devised specific actions to encourage increased participation in its housing and community development programs and </w:t>
      </w:r>
      <w:r w:rsidR="00D07211">
        <w:rPr>
          <w:sz w:val="24"/>
          <w:szCs w:val="24"/>
        </w:rPr>
        <w:t>low- to moderate-income persons</w:t>
      </w:r>
      <w:r w:rsidRPr="00F8318D">
        <w:rPr>
          <w:sz w:val="24"/>
          <w:szCs w:val="24"/>
        </w:rPr>
        <w:t xml:space="preserve">. </w:t>
      </w:r>
    </w:p>
    <w:p w14:paraId="02354609" w14:textId="52083115" w:rsidR="005F6CD1" w:rsidRPr="00F8318D" w:rsidRDefault="005F6CD1" w:rsidP="005F6CD1">
      <w:pPr>
        <w:widowControl w:val="0"/>
        <w:spacing w:line="240" w:lineRule="auto"/>
        <w:jc w:val="both"/>
        <w:rPr>
          <w:b/>
          <w:sz w:val="24"/>
          <w:szCs w:val="24"/>
        </w:rPr>
      </w:pPr>
      <w:r w:rsidRPr="00F8318D">
        <w:rPr>
          <w:sz w:val="24"/>
          <w:szCs w:val="24"/>
        </w:rPr>
        <w:t>A draft of the</w:t>
      </w:r>
      <w:r>
        <w:rPr>
          <w:sz w:val="24"/>
          <w:szCs w:val="24"/>
        </w:rPr>
        <w:t xml:space="preserve"> 2020</w:t>
      </w:r>
      <w:r w:rsidRPr="00F8318D">
        <w:rPr>
          <w:sz w:val="24"/>
          <w:szCs w:val="24"/>
        </w:rPr>
        <w:t xml:space="preserve"> CAPER was available for public comment for </w:t>
      </w:r>
      <w:r w:rsidR="00D07211">
        <w:rPr>
          <w:sz w:val="24"/>
          <w:szCs w:val="24"/>
        </w:rPr>
        <w:t>15 days</w:t>
      </w:r>
      <w:r w:rsidRPr="00F8318D">
        <w:rPr>
          <w:sz w:val="24"/>
          <w:szCs w:val="24"/>
        </w:rPr>
        <w:t xml:space="preserve"> from </w:t>
      </w:r>
      <w:r>
        <w:rPr>
          <w:sz w:val="24"/>
          <w:szCs w:val="24"/>
        </w:rPr>
        <w:t xml:space="preserve">Monday, December 1, </w:t>
      </w:r>
      <w:r w:rsidRPr="00F8318D">
        <w:rPr>
          <w:sz w:val="24"/>
          <w:szCs w:val="24"/>
        </w:rPr>
        <w:t>20</w:t>
      </w:r>
      <w:r>
        <w:rPr>
          <w:sz w:val="24"/>
          <w:szCs w:val="24"/>
        </w:rPr>
        <w:t>21</w:t>
      </w:r>
      <w:r w:rsidR="00D07211">
        <w:rPr>
          <w:sz w:val="24"/>
          <w:szCs w:val="24"/>
        </w:rPr>
        <w:t>,</w:t>
      </w:r>
      <w:r w:rsidRPr="00F8318D">
        <w:rPr>
          <w:sz w:val="24"/>
          <w:szCs w:val="24"/>
        </w:rPr>
        <w:t xml:space="preserve"> through Friday, December </w:t>
      </w:r>
      <w:r>
        <w:rPr>
          <w:sz w:val="24"/>
          <w:szCs w:val="24"/>
        </w:rPr>
        <w:t>17</w:t>
      </w:r>
      <w:r w:rsidRPr="00F8318D">
        <w:rPr>
          <w:sz w:val="24"/>
          <w:szCs w:val="24"/>
        </w:rPr>
        <w:t>, 20</w:t>
      </w:r>
      <w:r>
        <w:rPr>
          <w:sz w:val="24"/>
          <w:szCs w:val="24"/>
        </w:rPr>
        <w:t>21</w:t>
      </w:r>
      <w:r w:rsidRPr="00F8318D">
        <w:rPr>
          <w:sz w:val="24"/>
          <w:szCs w:val="24"/>
        </w:rPr>
        <w:t xml:space="preserve">.  </w:t>
      </w:r>
      <w:r>
        <w:rPr>
          <w:sz w:val="24"/>
          <w:szCs w:val="24"/>
        </w:rPr>
        <w:t xml:space="preserve">The </w:t>
      </w:r>
      <w:r w:rsidRPr="00F8318D">
        <w:rPr>
          <w:sz w:val="24"/>
          <w:szCs w:val="24"/>
        </w:rPr>
        <w:t xml:space="preserve">public notice </w:t>
      </w:r>
      <w:r>
        <w:rPr>
          <w:sz w:val="24"/>
          <w:szCs w:val="24"/>
        </w:rPr>
        <w:t xml:space="preserve">was published in the </w:t>
      </w:r>
      <w:r w:rsidRPr="00F8318D">
        <w:rPr>
          <w:sz w:val="24"/>
          <w:szCs w:val="24"/>
        </w:rPr>
        <w:t>Anniston Star</w:t>
      </w:r>
      <w:r w:rsidR="00D07211">
        <w:rPr>
          <w:sz w:val="24"/>
          <w:szCs w:val="24"/>
        </w:rPr>
        <w:t>,</w:t>
      </w:r>
      <w:r w:rsidRPr="00F8318D">
        <w:rPr>
          <w:sz w:val="24"/>
          <w:szCs w:val="24"/>
        </w:rPr>
        <w:t xml:space="preserve"> the local legal organ for the City of Anniston. The draft of the 20</w:t>
      </w:r>
      <w:r>
        <w:rPr>
          <w:sz w:val="24"/>
          <w:szCs w:val="24"/>
        </w:rPr>
        <w:t>20</w:t>
      </w:r>
      <w:r w:rsidRPr="00F8318D">
        <w:rPr>
          <w:sz w:val="24"/>
          <w:szCs w:val="24"/>
        </w:rPr>
        <w:t xml:space="preserve"> CAPER was made available on the Community Development website at </w:t>
      </w:r>
      <w:hyperlink r:id="rId15" w:history="1">
        <w:r w:rsidRPr="00F8318D">
          <w:rPr>
            <w:rStyle w:val="Hyperlink"/>
            <w:sz w:val="24"/>
            <w:szCs w:val="24"/>
          </w:rPr>
          <w:t>www.annistonal.gov</w:t>
        </w:r>
      </w:hyperlink>
      <w:r w:rsidRPr="00F8318D">
        <w:rPr>
          <w:sz w:val="24"/>
          <w:szCs w:val="24"/>
        </w:rPr>
        <w:t xml:space="preserve"> in English. The City also notified the pub</w:t>
      </w:r>
      <w:r>
        <w:rPr>
          <w:sz w:val="24"/>
          <w:szCs w:val="24"/>
        </w:rPr>
        <w:t>lic</w:t>
      </w:r>
      <w:r w:rsidRPr="00F8318D">
        <w:rPr>
          <w:sz w:val="24"/>
          <w:szCs w:val="24"/>
        </w:rPr>
        <w:t xml:space="preserve"> through a wide network of nonprofit organizations to ensure affirmative steps to solicit participation in the CAPER preparation process. All public notices informed residents who may have disabilities and speak limited English to contact our office for special accommodations if necessary. A copy of the advertisement is included in the appendix. </w:t>
      </w:r>
    </w:p>
    <w:p w14:paraId="50CC7A12" w14:textId="77777777" w:rsidR="005F6CD1" w:rsidRPr="00F8318D" w:rsidRDefault="005F6CD1" w:rsidP="005F6CD1">
      <w:pPr>
        <w:widowControl w:val="0"/>
        <w:spacing w:line="240" w:lineRule="auto"/>
        <w:rPr>
          <w:sz w:val="24"/>
          <w:szCs w:val="24"/>
        </w:rPr>
      </w:pPr>
    </w:p>
    <w:p w14:paraId="733F1156" w14:textId="77777777" w:rsidR="005F6CD1" w:rsidRDefault="005F6CD1" w:rsidP="00CB2046">
      <w:pPr>
        <w:widowControl w:val="0"/>
        <w:jc w:val="both"/>
        <w:rPr>
          <w:sz w:val="24"/>
          <w:szCs w:val="24"/>
        </w:rPr>
      </w:pPr>
    </w:p>
    <w:p w14:paraId="7AB1680C" w14:textId="77777777" w:rsidR="00D0416C" w:rsidRPr="00D07211" w:rsidRDefault="002B09DF" w:rsidP="00D07211">
      <w:pPr>
        <w:keepNext/>
        <w:pageBreakBefore/>
        <w:widowControl w:val="0"/>
        <w:shd w:val="clear" w:color="auto" w:fill="1F497D" w:themeFill="text2"/>
        <w:spacing w:before="240" w:after="60"/>
        <w:jc w:val="both"/>
        <w:outlineLvl w:val="1"/>
        <w:rPr>
          <w:rFonts w:cs="Arial"/>
          <w:b/>
          <w:bCs/>
          <w:iCs/>
          <w:color w:val="FFFFFF" w:themeColor="background1"/>
          <w:sz w:val="28"/>
          <w:szCs w:val="28"/>
        </w:rPr>
      </w:pPr>
      <w:bookmarkStart w:id="16" w:name="_Toc86152498"/>
      <w:r w:rsidRPr="00D07211">
        <w:rPr>
          <w:rFonts w:cs="Arial"/>
          <w:b/>
          <w:bCs/>
          <w:iCs/>
          <w:color w:val="FFFFFF" w:themeColor="background1"/>
          <w:sz w:val="28"/>
          <w:szCs w:val="28"/>
        </w:rPr>
        <w:lastRenderedPageBreak/>
        <w:t>CR-45 - CDBG 91.520(c)</w:t>
      </w:r>
      <w:bookmarkEnd w:id="16"/>
    </w:p>
    <w:p w14:paraId="02F181D5" w14:textId="4C1A38D5" w:rsidR="00D0416C" w:rsidRDefault="002B09DF" w:rsidP="00CB2046">
      <w:pPr>
        <w:widowControl w:val="0"/>
        <w:jc w:val="both"/>
        <w:rPr>
          <w:b/>
          <w:sz w:val="24"/>
          <w:szCs w:val="24"/>
        </w:rPr>
      </w:pPr>
      <w:r>
        <w:rPr>
          <w:b/>
          <w:sz w:val="24"/>
          <w:szCs w:val="24"/>
        </w:rPr>
        <w:t xml:space="preserve">Specify the nature of, and reasons for, any changes in the </w:t>
      </w:r>
      <w:r w:rsidR="00D07211">
        <w:rPr>
          <w:b/>
          <w:sz w:val="24"/>
          <w:szCs w:val="24"/>
        </w:rPr>
        <w:t>J</w:t>
      </w:r>
      <w:r>
        <w:rPr>
          <w:b/>
          <w:sz w:val="24"/>
          <w:szCs w:val="24"/>
        </w:rPr>
        <w:t>urisdiction</w:t>
      </w:r>
      <w:r w:rsidR="00D07211">
        <w:rPr>
          <w:b/>
          <w:sz w:val="24"/>
          <w:szCs w:val="24"/>
        </w:rPr>
        <w:t>'</w:t>
      </w:r>
      <w:r>
        <w:rPr>
          <w:b/>
          <w:sz w:val="24"/>
          <w:szCs w:val="24"/>
        </w:rPr>
        <w:t xml:space="preserve">s program objectives and indications of how the </w:t>
      </w:r>
      <w:r w:rsidR="00D07211">
        <w:rPr>
          <w:b/>
          <w:sz w:val="24"/>
          <w:szCs w:val="24"/>
        </w:rPr>
        <w:t>J</w:t>
      </w:r>
      <w:r>
        <w:rPr>
          <w:b/>
          <w:sz w:val="24"/>
          <w:szCs w:val="24"/>
        </w:rPr>
        <w:t>urisdiction would change its programs as a result of its experiences.</w:t>
      </w:r>
    </w:p>
    <w:p w14:paraId="060E8A65" w14:textId="54677B6A" w:rsidR="00D0416C" w:rsidRDefault="002B09DF" w:rsidP="00CB2046">
      <w:pPr>
        <w:widowControl w:val="0"/>
        <w:jc w:val="both"/>
        <w:rPr>
          <w:b/>
          <w:sz w:val="24"/>
          <w:szCs w:val="24"/>
        </w:rPr>
      </w:pPr>
      <w:r>
        <w:rPr>
          <w:b/>
          <w:sz w:val="24"/>
          <w:szCs w:val="24"/>
        </w:rPr>
        <w:t>Does this Jurisdiction have any open Brownfields Economic Development Initiative (BEDI) grants?</w:t>
      </w:r>
    </w:p>
    <w:p w14:paraId="2C49BB6C" w14:textId="19E6C240" w:rsidR="005F6CD1" w:rsidRPr="00F8318D" w:rsidRDefault="005F6CD1" w:rsidP="005F6CD1">
      <w:pPr>
        <w:widowControl w:val="0"/>
        <w:spacing w:line="240" w:lineRule="auto"/>
        <w:jc w:val="both"/>
        <w:rPr>
          <w:b/>
          <w:sz w:val="24"/>
          <w:szCs w:val="24"/>
        </w:rPr>
      </w:pPr>
      <w:r w:rsidRPr="00F8318D">
        <w:rPr>
          <w:sz w:val="24"/>
          <w:szCs w:val="24"/>
        </w:rPr>
        <w:t xml:space="preserve">The City of Anniston has not made any </w:t>
      </w:r>
      <w:r w:rsidR="00D07211">
        <w:rPr>
          <w:sz w:val="24"/>
          <w:szCs w:val="24"/>
        </w:rPr>
        <w:t>significant</w:t>
      </w:r>
      <w:r w:rsidRPr="00F8318D">
        <w:rPr>
          <w:sz w:val="24"/>
          <w:szCs w:val="24"/>
        </w:rPr>
        <w:t xml:space="preserve"> changes to the objectives of its CDBG program over the last year. The program </w:t>
      </w:r>
      <w:r w:rsidR="00D07211">
        <w:rPr>
          <w:sz w:val="24"/>
          <w:szCs w:val="24"/>
        </w:rPr>
        <w:t>focuse</w:t>
      </w:r>
      <w:r w:rsidRPr="00F8318D">
        <w:rPr>
          <w:sz w:val="24"/>
          <w:szCs w:val="24"/>
        </w:rPr>
        <w:t xml:space="preserve">s on public services, public facilities improvements, slum &amp; blight demolition, and other affordable housing projects. </w:t>
      </w:r>
    </w:p>
    <w:p w14:paraId="76DFF924" w14:textId="366EC5DF" w:rsidR="00D0416C" w:rsidRDefault="002B09DF" w:rsidP="00CB2046">
      <w:pPr>
        <w:widowControl w:val="0"/>
        <w:jc w:val="both"/>
        <w:rPr>
          <w:b/>
          <w:sz w:val="24"/>
          <w:szCs w:val="24"/>
        </w:rPr>
      </w:pPr>
      <w:r>
        <w:rPr>
          <w:b/>
          <w:sz w:val="24"/>
          <w:szCs w:val="24"/>
        </w:rPr>
        <w:t>[BEDI grantees]  Describe accomplishments and program outcomes during the last year.</w:t>
      </w:r>
    </w:p>
    <w:p w14:paraId="566A15CB" w14:textId="77777777" w:rsidR="005F6CD1" w:rsidRPr="00F8318D" w:rsidRDefault="005F6CD1" w:rsidP="005F6CD1">
      <w:pPr>
        <w:spacing w:line="240" w:lineRule="auto"/>
        <w:rPr>
          <w:sz w:val="24"/>
          <w:szCs w:val="24"/>
        </w:rPr>
      </w:pPr>
      <w:r w:rsidRPr="00F8318D">
        <w:rPr>
          <w:sz w:val="24"/>
          <w:szCs w:val="24"/>
        </w:rPr>
        <w:t>N/A</w:t>
      </w:r>
    </w:p>
    <w:p w14:paraId="52A9C7FD" w14:textId="77777777" w:rsidR="005F6CD1" w:rsidRDefault="005F6CD1" w:rsidP="00CB2046">
      <w:pPr>
        <w:widowControl w:val="0"/>
        <w:jc w:val="both"/>
        <w:rPr>
          <w:b/>
          <w:sz w:val="24"/>
          <w:szCs w:val="24"/>
        </w:rPr>
      </w:pPr>
    </w:p>
    <w:p w14:paraId="0965D09C" w14:textId="77777777" w:rsidR="00D0416C" w:rsidRDefault="00D0416C" w:rsidP="00CB2046">
      <w:pPr>
        <w:jc w:val="both"/>
      </w:pPr>
    </w:p>
    <w:p w14:paraId="2200A2A7" w14:textId="77777777" w:rsidR="00D0416C" w:rsidRDefault="00D0416C" w:rsidP="00CB2046">
      <w:pPr>
        <w:jc w:val="both"/>
      </w:pPr>
    </w:p>
    <w:p w14:paraId="0D6C9A11" w14:textId="77777777" w:rsidR="00D0416C" w:rsidRPr="00D07211" w:rsidRDefault="002B09DF" w:rsidP="00D07211">
      <w:pPr>
        <w:pStyle w:val="Heading2"/>
        <w:pageBreakBefore/>
        <w:widowControl w:val="0"/>
        <w:shd w:val="clear" w:color="auto" w:fill="1F497D" w:themeFill="text2"/>
        <w:jc w:val="both"/>
        <w:rPr>
          <w:rFonts w:ascii="Calibri" w:hAnsi="Calibri"/>
          <w:i w:val="0"/>
          <w:color w:val="FFFFFF" w:themeColor="background1"/>
        </w:rPr>
      </w:pPr>
      <w:bookmarkStart w:id="17" w:name="_Toc86152499"/>
      <w:r w:rsidRPr="00D07211">
        <w:rPr>
          <w:rFonts w:ascii="Calibri" w:hAnsi="Calibri"/>
          <w:i w:val="0"/>
          <w:color w:val="FFFFFF" w:themeColor="background1"/>
        </w:rPr>
        <w:lastRenderedPageBreak/>
        <w:t>CR-50 - HOME 91.520(d)</w:t>
      </w:r>
      <w:bookmarkEnd w:id="17"/>
    </w:p>
    <w:p w14:paraId="1A5F36E6" w14:textId="0245DF73" w:rsidR="00D0416C" w:rsidRDefault="002B09DF" w:rsidP="00CB2046">
      <w:pPr>
        <w:widowControl w:val="0"/>
        <w:jc w:val="both"/>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14:paraId="51C9DC49" w14:textId="4D9A02F6" w:rsidR="00D0416C" w:rsidRPr="005F6CD1" w:rsidRDefault="002B09DF" w:rsidP="00CB2046">
      <w:pPr>
        <w:widowControl w:val="0"/>
        <w:jc w:val="both"/>
        <w:rPr>
          <w:b/>
          <w:bCs/>
          <w:sz w:val="24"/>
          <w:szCs w:val="24"/>
        </w:rPr>
      </w:pPr>
      <w:r w:rsidRPr="005F6CD1">
        <w:rPr>
          <w:b/>
          <w:bCs/>
          <w:sz w:val="24"/>
          <w:szCs w:val="24"/>
        </w:rPr>
        <w:t>Please 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you will remedy the situation.</w:t>
      </w:r>
    </w:p>
    <w:p w14:paraId="160C6C2C" w14:textId="7E631387" w:rsidR="005F6CD1" w:rsidRPr="00F8318D" w:rsidRDefault="005F6CD1" w:rsidP="005F6CD1">
      <w:pPr>
        <w:widowControl w:val="0"/>
        <w:spacing w:line="240" w:lineRule="auto"/>
        <w:jc w:val="both"/>
        <w:rPr>
          <w:sz w:val="24"/>
          <w:szCs w:val="24"/>
        </w:rPr>
      </w:pPr>
      <w:r w:rsidRPr="00F8318D">
        <w:rPr>
          <w:sz w:val="24"/>
          <w:szCs w:val="24"/>
        </w:rPr>
        <w:t xml:space="preserve">The City conducts onsite inspections of HOME-assisted rental units during the required affordability period to determine compliance with HUD property standards </w:t>
      </w:r>
      <w:r w:rsidR="00D07211">
        <w:rPr>
          <w:sz w:val="24"/>
          <w:szCs w:val="24"/>
        </w:rPr>
        <w:t>following</w:t>
      </w:r>
      <w:r w:rsidRPr="00F8318D">
        <w:rPr>
          <w:sz w:val="24"/>
          <w:szCs w:val="24"/>
        </w:rPr>
        <w:t xml:space="preserve"> CFR 92.251. HOME-assisted rental projects with one to four units are inspected every three years, projects from five to 25 units are inspected every two years, and projects with 26 or more units are inspected annually. </w:t>
      </w:r>
      <w:r>
        <w:rPr>
          <w:sz w:val="24"/>
          <w:szCs w:val="24"/>
        </w:rPr>
        <w:t>The City does not own any rental housing.</w:t>
      </w:r>
    </w:p>
    <w:p w14:paraId="4814C857" w14:textId="01CFD2AD" w:rsidR="00D0416C" w:rsidRDefault="002B09DF" w:rsidP="00593A72">
      <w:pPr>
        <w:widowControl w:val="0"/>
        <w:spacing w:after="120"/>
        <w:jc w:val="both"/>
        <w:rPr>
          <w:b/>
          <w:sz w:val="24"/>
          <w:szCs w:val="24"/>
        </w:rPr>
      </w:pPr>
      <w:r>
        <w:rPr>
          <w:b/>
          <w:sz w:val="24"/>
          <w:szCs w:val="24"/>
        </w:rPr>
        <w:t xml:space="preserve">Provide an assessment of the </w:t>
      </w:r>
      <w:r w:rsidR="00D07211">
        <w:rPr>
          <w:b/>
          <w:sz w:val="24"/>
          <w:szCs w:val="24"/>
        </w:rPr>
        <w:t>J</w:t>
      </w:r>
      <w:r>
        <w:rPr>
          <w:b/>
          <w:sz w:val="24"/>
          <w:szCs w:val="24"/>
        </w:rPr>
        <w:t>urisdiction's affirmative marketing actions for HOME units. 92.351(b)</w:t>
      </w:r>
    </w:p>
    <w:p w14:paraId="063FDD3D" w14:textId="59BA6C8E" w:rsidR="00593A72" w:rsidRPr="00F8318D" w:rsidRDefault="00D07211" w:rsidP="00593A72">
      <w:pPr>
        <w:widowControl w:val="0"/>
        <w:spacing w:line="240" w:lineRule="auto"/>
        <w:jc w:val="both"/>
        <w:rPr>
          <w:b/>
          <w:sz w:val="24"/>
          <w:szCs w:val="24"/>
        </w:rPr>
      </w:pPr>
      <w:r>
        <w:rPr>
          <w:sz w:val="24"/>
          <w:szCs w:val="24"/>
        </w:rPr>
        <w:t xml:space="preserve">According to 24 CFR Part 92.351, the City of Anniston has adopted affirmative marketing procedures and requirements for HOME-assisted housing containing five (5) or more housing units.  The requirements </w:t>
      </w:r>
      <w:r w:rsidR="00593A72" w:rsidRPr="00F8318D">
        <w:rPr>
          <w:sz w:val="24"/>
          <w:szCs w:val="24"/>
        </w:rPr>
        <w:t xml:space="preserve">do not apply to families with housing assistance with tenant-based rental assistance provided with HOME funds. These affirmative marketing steps </w:t>
      </w:r>
      <w:r>
        <w:rPr>
          <w:sz w:val="24"/>
          <w:szCs w:val="24"/>
        </w:rPr>
        <w:t>provide</w:t>
      </w:r>
      <w:r w:rsidR="00593A72" w:rsidRPr="00F8318D">
        <w:rPr>
          <w:sz w:val="24"/>
          <w:szCs w:val="24"/>
        </w:rPr>
        <w:t xml:space="preserve"> information to otherwise eligible persons from all racial, ethnic</w:t>
      </w:r>
      <w:r>
        <w:rPr>
          <w:sz w:val="24"/>
          <w:szCs w:val="24"/>
        </w:rPr>
        <w:t>,</w:t>
      </w:r>
      <w:r w:rsidR="00593A72" w:rsidRPr="00F8318D">
        <w:rPr>
          <w:sz w:val="24"/>
          <w:szCs w:val="24"/>
        </w:rPr>
        <w:t xml:space="preserve"> and gender groups in the housing market area for housing units purchased, constructed, or 40 rehabilitated under the HOME Program. The City of Anniston will periodically assess its affirmative marketing program to determine </w:t>
      </w:r>
      <w:r>
        <w:rPr>
          <w:sz w:val="24"/>
          <w:szCs w:val="24"/>
        </w:rPr>
        <w:t>its succes</w:t>
      </w:r>
      <w:r w:rsidR="00593A72" w:rsidRPr="00F8318D">
        <w:rPr>
          <w:sz w:val="24"/>
          <w:szCs w:val="24"/>
        </w:rPr>
        <w:t>s and make any necessary corrective actions. The assessment of the Affirmative Marketing Procedures will occur at least annually as the City evaluates its housing programs as a part of the preparation of the CAPER.</w:t>
      </w:r>
    </w:p>
    <w:p w14:paraId="452F2BD3" w14:textId="77777777" w:rsidR="00593A72" w:rsidRDefault="002B09DF" w:rsidP="00593A72">
      <w:pPr>
        <w:widowControl w:val="0"/>
        <w:spacing w:after="120"/>
        <w:jc w:val="both"/>
        <w:rPr>
          <w:b/>
          <w:sz w:val="24"/>
          <w:szCs w:val="24"/>
        </w:rPr>
      </w:pPr>
      <w:r>
        <w:rPr>
          <w:b/>
          <w:sz w:val="24"/>
          <w:szCs w:val="24"/>
        </w:rPr>
        <w:t>Refer to IDIS reports to describe the amount and use of program income for projects, including the number of projects and owner and tenant characteristics</w:t>
      </w:r>
    </w:p>
    <w:p w14:paraId="3A53AC5E" w14:textId="77777777" w:rsidR="00593A72" w:rsidRPr="00F8318D" w:rsidRDefault="00593A72" w:rsidP="00593A72">
      <w:pPr>
        <w:widowControl w:val="0"/>
        <w:spacing w:line="240" w:lineRule="auto"/>
        <w:rPr>
          <w:rFonts w:asciiTheme="minorHAnsi" w:hAnsiTheme="minorHAnsi" w:cstheme="minorHAnsi"/>
          <w:sz w:val="24"/>
          <w:szCs w:val="24"/>
        </w:rPr>
      </w:pPr>
      <w:r w:rsidRPr="00F8318D">
        <w:rPr>
          <w:rFonts w:asciiTheme="minorHAnsi" w:hAnsiTheme="minorHAnsi" w:cstheme="minorHAnsi"/>
          <w:sz w:val="24"/>
          <w:szCs w:val="24"/>
        </w:rPr>
        <w:t>Program income on-hand is paid out to projects before entitlement funds for new and existing projects.</w:t>
      </w:r>
    </w:p>
    <w:p w14:paraId="226BDC10" w14:textId="747E71DB" w:rsidR="00D0416C" w:rsidRDefault="002B09DF" w:rsidP="00593A72">
      <w:pPr>
        <w:widowControl w:val="0"/>
        <w:spacing w:after="120"/>
        <w:jc w:val="both"/>
        <w:rPr>
          <w:b/>
          <w:sz w:val="24"/>
          <w:szCs w:val="24"/>
        </w:rPr>
      </w:pPr>
      <w:r>
        <w:rPr>
          <w:b/>
          <w:sz w:val="24"/>
          <w:szCs w:val="24"/>
        </w:rPr>
        <w:t>Describe other actions taken to foster and maintain affordable housing.  91.220(k) (STATES ONLY: Including the coordination of LIHTC with the development of affordable housing).  91.320(j)</w:t>
      </w:r>
    </w:p>
    <w:p w14:paraId="652FEBB0" w14:textId="00D3D3C9" w:rsidR="00593A72" w:rsidRDefault="00593A72" w:rsidP="00593A72">
      <w:pPr>
        <w:widowControl w:val="0"/>
        <w:spacing w:line="240" w:lineRule="auto"/>
        <w:jc w:val="both"/>
      </w:pPr>
      <w:r w:rsidRPr="00F8318D">
        <w:rPr>
          <w:sz w:val="24"/>
          <w:szCs w:val="24"/>
        </w:rPr>
        <w:t>The City has several programs aimed at both fostering and maintaining affordable housing. These programs include but are not limited to: the use of HUD</w:t>
      </w:r>
      <w:r w:rsidR="00D07211">
        <w:rPr>
          <w:sz w:val="24"/>
          <w:szCs w:val="24"/>
        </w:rPr>
        <w:t>'</w:t>
      </w:r>
      <w:r w:rsidRPr="00F8318D">
        <w:rPr>
          <w:sz w:val="24"/>
          <w:szCs w:val="24"/>
        </w:rPr>
        <w:t>s Housing Choice Voucher program, programs geared towards the maintenance of existing housing stock, programs designed to keep low-to-moderate-income families in their homes, acquisition and rehabilitation programs, anti-poverty programming, an</w:t>
      </w:r>
      <w:r>
        <w:t>d programs to improve social service coordination. (For a detailed listing of program activities</w:t>
      </w:r>
      <w:r w:rsidR="00D07211">
        <w:t>,</w:t>
      </w:r>
      <w:r>
        <w:t xml:space="preserve"> please refer to section CR35-Other Actions).</w:t>
      </w:r>
    </w:p>
    <w:sectPr w:rsidR="00593A72" w:rsidSect="00365EF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07D5A" w14:textId="77777777" w:rsidR="00917970" w:rsidRDefault="00917970">
      <w:r>
        <w:separator/>
      </w:r>
    </w:p>
  </w:endnote>
  <w:endnote w:type="continuationSeparator" w:id="0">
    <w:p w14:paraId="5F859F79" w14:textId="77777777" w:rsidR="00917970" w:rsidRDefault="0091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DB065E" w14:paraId="5B52F9E9" w14:textId="77777777">
      <w:trPr>
        <w:jc w:val="center"/>
      </w:trPr>
      <w:tc>
        <w:tcPr>
          <w:tcW w:w="828" w:type="dxa"/>
        </w:tcPr>
        <w:p w14:paraId="60AC429D" w14:textId="77777777" w:rsidR="00DB065E" w:rsidRDefault="00DB065E">
          <w:pPr>
            <w:pStyle w:val="Footer"/>
            <w:spacing w:after="0" w:line="240" w:lineRule="auto"/>
            <w:jc w:val="center"/>
          </w:pPr>
        </w:p>
      </w:tc>
      <w:tc>
        <w:tcPr>
          <w:tcW w:w="7976" w:type="dxa"/>
        </w:tcPr>
        <w:p w14:paraId="4B84666A" w14:textId="77777777" w:rsidR="00DB065E" w:rsidRDefault="00DB065E">
          <w:pPr>
            <w:pStyle w:val="Footer"/>
            <w:spacing w:after="0" w:line="240" w:lineRule="auto"/>
            <w:jc w:val="center"/>
          </w:pPr>
          <w:r>
            <w:t>CAPER</w:t>
          </w:r>
        </w:p>
      </w:tc>
      <w:tc>
        <w:tcPr>
          <w:tcW w:w="772" w:type="dxa"/>
        </w:tcPr>
        <w:p w14:paraId="3159C122" w14:textId="6614B2EA" w:rsidR="00DB065E" w:rsidRDefault="00DB065E">
          <w:pPr>
            <w:pStyle w:val="Footer"/>
            <w:spacing w:after="0" w:line="240" w:lineRule="auto"/>
            <w:jc w:val="right"/>
          </w:pPr>
          <w:r>
            <w:fldChar w:fldCharType="begin"/>
          </w:r>
          <w:r>
            <w:instrText>page</w:instrText>
          </w:r>
          <w:r>
            <w:fldChar w:fldCharType="separate"/>
          </w:r>
          <w:r w:rsidR="000511A8">
            <w:rPr>
              <w:noProof/>
            </w:rPr>
            <w:t>4</w:t>
          </w:r>
          <w:r>
            <w:fldChar w:fldCharType="end"/>
          </w:r>
        </w:p>
      </w:tc>
    </w:tr>
  </w:tbl>
  <w:p w14:paraId="194A4134" w14:textId="77777777" w:rsidR="00DB065E" w:rsidRDefault="00DB065E">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5B913" w14:textId="77777777" w:rsidR="00917970" w:rsidRDefault="00917970">
      <w:r>
        <w:separator/>
      </w:r>
    </w:p>
  </w:footnote>
  <w:footnote w:type="continuationSeparator" w:id="0">
    <w:p w14:paraId="391B8FB6" w14:textId="77777777" w:rsidR="00917970" w:rsidRDefault="009179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B5DCE"/>
    <w:multiLevelType w:val="hybridMultilevel"/>
    <w:tmpl w:val="084A3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2B802B4"/>
    <w:multiLevelType w:val="hybridMultilevel"/>
    <w:tmpl w:val="75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930EA"/>
    <w:multiLevelType w:val="hybridMultilevel"/>
    <w:tmpl w:val="1FAC5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23D2F04"/>
    <w:multiLevelType w:val="hybridMultilevel"/>
    <w:tmpl w:val="DA769BE4"/>
    <w:lvl w:ilvl="0" w:tplc="1D6C25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29374EA"/>
    <w:multiLevelType w:val="hybridMultilevel"/>
    <w:tmpl w:val="159C88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7E4110"/>
    <w:multiLevelType w:val="hybridMultilevel"/>
    <w:tmpl w:val="7420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1"/>
  </w:num>
  <w:num w:numId="14">
    <w:abstractNumId w:val="17"/>
  </w:num>
  <w:num w:numId="15">
    <w:abstractNumId w:val="15"/>
  </w:num>
  <w:num w:numId="16">
    <w:abstractNumId w:val="20"/>
  </w:num>
  <w:num w:numId="17">
    <w:abstractNumId w:val="14"/>
  </w:num>
  <w:num w:numId="18">
    <w:abstractNumId w:val="18"/>
  </w:num>
  <w:num w:numId="19">
    <w:abstractNumId w:val="13"/>
  </w:num>
  <w:num w:numId="20">
    <w:abstractNumId w:val="16"/>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wNzEzM7A0MjQwMjFX0lEKTi0uzszPAykwrAUAt94+gCwAAAA="/>
  </w:docVars>
  <w:rsids>
    <w:rsidRoot w:val="00EF3550"/>
    <w:rsid w:val="00000EC6"/>
    <w:rsid w:val="00001671"/>
    <w:rsid w:val="0000299C"/>
    <w:rsid w:val="000035A3"/>
    <w:rsid w:val="00003E3A"/>
    <w:rsid w:val="000042E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1A8"/>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B6"/>
    <w:rsid w:val="000B0148"/>
    <w:rsid w:val="000B05D4"/>
    <w:rsid w:val="000B0735"/>
    <w:rsid w:val="000B1705"/>
    <w:rsid w:val="000B291F"/>
    <w:rsid w:val="000B3DD8"/>
    <w:rsid w:val="000B45BD"/>
    <w:rsid w:val="000B5D24"/>
    <w:rsid w:val="000B6036"/>
    <w:rsid w:val="000B60F1"/>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3E03"/>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395"/>
    <w:rsid w:val="001426D3"/>
    <w:rsid w:val="001442FB"/>
    <w:rsid w:val="001452F7"/>
    <w:rsid w:val="0014572F"/>
    <w:rsid w:val="001460FB"/>
    <w:rsid w:val="0014790F"/>
    <w:rsid w:val="0015000D"/>
    <w:rsid w:val="00150082"/>
    <w:rsid w:val="001501DB"/>
    <w:rsid w:val="00150A50"/>
    <w:rsid w:val="00150B00"/>
    <w:rsid w:val="00151FDE"/>
    <w:rsid w:val="001539D4"/>
    <w:rsid w:val="00154C3F"/>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3DA"/>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09DF"/>
    <w:rsid w:val="002B260A"/>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2DD7"/>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04B4"/>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48E"/>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ACB"/>
    <w:rsid w:val="00362BC6"/>
    <w:rsid w:val="00362BEC"/>
    <w:rsid w:val="003636A4"/>
    <w:rsid w:val="00365CE8"/>
    <w:rsid w:val="00365EF1"/>
    <w:rsid w:val="00367870"/>
    <w:rsid w:val="00370741"/>
    <w:rsid w:val="0037146A"/>
    <w:rsid w:val="0037176A"/>
    <w:rsid w:val="00371907"/>
    <w:rsid w:val="00375479"/>
    <w:rsid w:val="0037664B"/>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0B9F"/>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3AE"/>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468D"/>
    <w:rsid w:val="004C554B"/>
    <w:rsid w:val="004C5CFA"/>
    <w:rsid w:val="004C753E"/>
    <w:rsid w:val="004C75FF"/>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3A72"/>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0B3D"/>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CD1"/>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14CB"/>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4CD"/>
    <w:rsid w:val="00637636"/>
    <w:rsid w:val="00637A2D"/>
    <w:rsid w:val="00640D75"/>
    <w:rsid w:val="00641878"/>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1487"/>
    <w:rsid w:val="0074344B"/>
    <w:rsid w:val="00743CA8"/>
    <w:rsid w:val="007444F7"/>
    <w:rsid w:val="007459B8"/>
    <w:rsid w:val="00745E9A"/>
    <w:rsid w:val="00746C78"/>
    <w:rsid w:val="0075079F"/>
    <w:rsid w:val="00750EA1"/>
    <w:rsid w:val="00752484"/>
    <w:rsid w:val="007575E9"/>
    <w:rsid w:val="007577DC"/>
    <w:rsid w:val="0076214F"/>
    <w:rsid w:val="00764377"/>
    <w:rsid w:val="007649B9"/>
    <w:rsid w:val="00765FC2"/>
    <w:rsid w:val="00770B75"/>
    <w:rsid w:val="007714FF"/>
    <w:rsid w:val="00771668"/>
    <w:rsid w:val="007724C7"/>
    <w:rsid w:val="00772BE1"/>
    <w:rsid w:val="007730F1"/>
    <w:rsid w:val="007737B6"/>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45CE"/>
    <w:rsid w:val="007A55B0"/>
    <w:rsid w:val="007A65AE"/>
    <w:rsid w:val="007A678D"/>
    <w:rsid w:val="007A6A94"/>
    <w:rsid w:val="007A6C54"/>
    <w:rsid w:val="007A6E48"/>
    <w:rsid w:val="007A705F"/>
    <w:rsid w:val="007A78FE"/>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435B"/>
    <w:rsid w:val="008052B0"/>
    <w:rsid w:val="0080570A"/>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3C56"/>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17970"/>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0F5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B27"/>
    <w:rsid w:val="00AE6801"/>
    <w:rsid w:val="00AE6E53"/>
    <w:rsid w:val="00AE6EDD"/>
    <w:rsid w:val="00AF0EAF"/>
    <w:rsid w:val="00AF1352"/>
    <w:rsid w:val="00AF1CA3"/>
    <w:rsid w:val="00AF1CEF"/>
    <w:rsid w:val="00AF26F7"/>
    <w:rsid w:val="00AF54EB"/>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D52"/>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04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2F5F"/>
    <w:rsid w:val="00D0416C"/>
    <w:rsid w:val="00D0431C"/>
    <w:rsid w:val="00D0446D"/>
    <w:rsid w:val="00D04DEE"/>
    <w:rsid w:val="00D050E6"/>
    <w:rsid w:val="00D07211"/>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5746"/>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574F2"/>
    <w:rsid w:val="00D61C52"/>
    <w:rsid w:val="00D621DB"/>
    <w:rsid w:val="00D62EAF"/>
    <w:rsid w:val="00D636DA"/>
    <w:rsid w:val="00D63869"/>
    <w:rsid w:val="00D639C6"/>
    <w:rsid w:val="00D65B4D"/>
    <w:rsid w:val="00D65DC5"/>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7BF"/>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65E"/>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AAB"/>
    <w:rsid w:val="00DF12D7"/>
    <w:rsid w:val="00DF138A"/>
    <w:rsid w:val="00DF2023"/>
    <w:rsid w:val="00DF2B45"/>
    <w:rsid w:val="00DF2CBB"/>
    <w:rsid w:val="00DF341B"/>
    <w:rsid w:val="00DF3B5B"/>
    <w:rsid w:val="00DF405D"/>
    <w:rsid w:val="00DF6275"/>
    <w:rsid w:val="00DF6567"/>
    <w:rsid w:val="00DF6E1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68B"/>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47C5"/>
    <w:rsid w:val="00EA556F"/>
    <w:rsid w:val="00EA717E"/>
    <w:rsid w:val="00EA7B76"/>
    <w:rsid w:val="00EB00A1"/>
    <w:rsid w:val="00EB1110"/>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071"/>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5CD"/>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AA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44C7F0"/>
  <w15:docId w15:val="{40A472DB-3B3B-4170-8E35-47948F5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39"/>
    <w:locked/>
    <w:rsid w:val="00CB2046"/>
    <w:pPr>
      <w:tabs>
        <w:tab w:val="right" w:leader="dot" w:pos="12950"/>
      </w:tabs>
      <w:ind w:left="220"/>
      <w:jc w:val="both"/>
    </w:pPr>
    <w:rPr>
      <w:rFonts w:cs="Arial"/>
      <w:b/>
      <w:bCs/>
      <w:iCs/>
      <w:noProof/>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 w:type="paragraph" w:styleId="TOCHeading">
    <w:name w:val="TOC Heading"/>
    <w:basedOn w:val="Heading1"/>
    <w:next w:val="Normal"/>
    <w:uiPriority w:val="39"/>
    <w:unhideWhenUsed/>
    <w:qFormat/>
    <w:rsid w:val="00CB2046"/>
    <w:pPr>
      <w:spacing w:before="240"/>
      <w:outlineLvl w:val="9"/>
    </w:pPr>
    <w:rPr>
      <w:rFonts w:asciiTheme="majorHAnsi" w:eastAsiaTheme="majorEastAsia" w:hAnsiTheme="majorHAnsi" w:cstheme="majorBidi"/>
      <w:b w:val="0"/>
      <w:bCs w:val="0"/>
      <w:color w:val="365F91" w:themeColor="accent1" w:themeShade="BF"/>
      <w:sz w:val="32"/>
      <w:szCs w:val="32"/>
    </w:rPr>
  </w:style>
  <w:style w:type="paragraph" w:customStyle="1" w:styleId="Default">
    <w:name w:val="Default"/>
    <w:rsid w:val="002E2DD7"/>
    <w:pPr>
      <w:autoSpaceDE w:val="0"/>
      <w:autoSpaceDN w:val="0"/>
      <w:adjustRightInd w:val="0"/>
    </w:pPr>
    <w:rPr>
      <w:rFonts w:cs="Calibri"/>
      <w:color w:val="000000"/>
      <w:sz w:val="24"/>
      <w:szCs w:val="24"/>
    </w:rPr>
  </w:style>
  <w:style w:type="paragraph" w:styleId="ListParagraph">
    <w:name w:val="List Paragraph"/>
    <w:basedOn w:val="Normal"/>
    <w:uiPriority w:val="34"/>
    <w:qFormat/>
    <w:rsid w:val="00DB065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4133">
      <w:bodyDiv w:val="1"/>
      <w:marLeft w:val="0"/>
      <w:marRight w:val="0"/>
      <w:marTop w:val="0"/>
      <w:marBottom w:val="0"/>
      <w:divBdr>
        <w:top w:val="none" w:sz="0" w:space="0" w:color="auto"/>
        <w:left w:val="none" w:sz="0" w:space="0" w:color="auto"/>
        <w:bottom w:val="none" w:sz="0" w:space="0" w:color="auto"/>
        <w:right w:val="none" w:sz="0" w:space="0" w:color="auto"/>
      </w:divBdr>
    </w:div>
    <w:div w:id="420956462">
      <w:bodyDiv w:val="1"/>
      <w:marLeft w:val="0"/>
      <w:marRight w:val="0"/>
      <w:marTop w:val="0"/>
      <w:marBottom w:val="0"/>
      <w:divBdr>
        <w:top w:val="none" w:sz="0" w:space="0" w:color="auto"/>
        <w:left w:val="none" w:sz="0" w:space="0" w:color="auto"/>
        <w:bottom w:val="none" w:sz="0" w:space="0" w:color="auto"/>
        <w:right w:val="none" w:sz="0" w:space="0" w:color="auto"/>
      </w:divBdr>
    </w:div>
    <w:div w:id="529153011">
      <w:bodyDiv w:val="1"/>
      <w:marLeft w:val="0"/>
      <w:marRight w:val="0"/>
      <w:marTop w:val="0"/>
      <w:marBottom w:val="0"/>
      <w:divBdr>
        <w:top w:val="none" w:sz="0" w:space="0" w:color="auto"/>
        <w:left w:val="none" w:sz="0" w:space="0" w:color="auto"/>
        <w:bottom w:val="none" w:sz="0" w:space="0" w:color="auto"/>
        <w:right w:val="none" w:sz="0" w:space="0" w:color="auto"/>
      </w:divBdr>
    </w:div>
    <w:div w:id="613900383">
      <w:bodyDiv w:val="1"/>
      <w:marLeft w:val="0"/>
      <w:marRight w:val="0"/>
      <w:marTop w:val="0"/>
      <w:marBottom w:val="0"/>
      <w:divBdr>
        <w:top w:val="none" w:sz="0" w:space="0" w:color="auto"/>
        <w:left w:val="none" w:sz="0" w:space="0" w:color="auto"/>
        <w:bottom w:val="none" w:sz="0" w:space="0" w:color="auto"/>
        <w:right w:val="none" w:sz="0" w:space="0" w:color="auto"/>
      </w:divBdr>
    </w:div>
    <w:div w:id="797800077">
      <w:bodyDiv w:val="1"/>
      <w:marLeft w:val="0"/>
      <w:marRight w:val="0"/>
      <w:marTop w:val="0"/>
      <w:marBottom w:val="0"/>
      <w:divBdr>
        <w:top w:val="none" w:sz="0" w:space="0" w:color="auto"/>
        <w:left w:val="none" w:sz="0" w:space="0" w:color="auto"/>
        <w:bottom w:val="none" w:sz="0" w:space="0" w:color="auto"/>
        <w:right w:val="none" w:sz="0" w:space="0" w:color="auto"/>
      </w:divBdr>
    </w:div>
    <w:div w:id="1120566541">
      <w:bodyDiv w:val="1"/>
      <w:marLeft w:val="0"/>
      <w:marRight w:val="0"/>
      <w:marTop w:val="0"/>
      <w:marBottom w:val="0"/>
      <w:divBdr>
        <w:top w:val="none" w:sz="0" w:space="0" w:color="auto"/>
        <w:left w:val="none" w:sz="0" w:space="0" w:color="auto"/>
        <w:bottom w:val="none" w:sz="0" w:space="0" w:color="auto"/>
        <w:right w:val="none" w:sz="0" w:space="0" w:color="auto"/>
      </w:divBdr>
    </w:div>
    <w:div w:id="1714689767">
      <w:bodyDiv w:val="1"/>
      <w:marLeft w:val="0"/>
      <w:marRight w:val="0"/>
      <w:marTop w:val="0"/>
      <w:marBottom w:val="0"/>
      <w:divBdr>
        <w:top w:val="none" w:sz="0" w:space="0" w:color="auto"/>
        <w:left w:val="none" w:sz="0" w:space="0" w:color="auto"/>
        <w:bottom w:val="none" w:sz="0" w:space="0" w:color="auto"/>
        <w:right w:val="none" w:sz="0" w:space="0" w:color="auto"/>
      </w:divBdr>
    </w:div>
    <w:div w:id="1864393832">
      <w:bodyDiv w:val="1"/>
      <w:marLeft w:val="0"/>
      <w:marRight w:val="0"/>
      <w:marTop w:val="0"/>
      <w:marBottom w:val="0"/>
      <w:divBdr>
        <w:top w:val="none" w:sz="0" w:space="0" w:color="auto"/>
        <w:left w:val="none" w:sz="0" w:space="0" w:color="auto"/>
        <w:bottom w:val="none" w:sz="0" w:space="0" w:color="auto"/>
        <w:right w:val="none" w:sz="0" w:space="0" w:color="auto"/>
      </w:divBdr>
    </w:div>
    <w:div w:id="20478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nnistonal.gov"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annistonal.gov/pages/?pageID=56"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5C236AE2-1DC7-410D-8658-847401CD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5144</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Consolidated annual performance evaluation report</vt:lpstr>
    </vt:vector>
  </TitlesOfParts>
  <Company>Microsoft</Company>
  <LinksUpToDate>false</LinksUpToDate>
  <CharactersWithSpaces>34403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annual performance evaluation report</dc:title>
  <dc:creator>Rocio</dc:creator>
  <cp:lastModifiedBy>Melinda Fowles</cp:lastModifiedBy>
  <cp:revision>2</cp:revision>
  <dcterms:created xsi:type="dcterms:W3CDTF">2021-12-03T20:31:00Z</dcterms:created>
  <dcterms:modified xsi:type="dcterms:W3CDTF">2021-12-03T20:31:00Z</dcterms:modified>
</cp:coreProperties>
</file>